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4" w:rsidRPr="002F1D45" w:rsidRDefault="00462E64" w:rsidP="00462E64">
      <w:pPr>
        <w:jc w:val="center"/>
        <w:rPr>
          <w:b/>
        </w:rPr>
      </w:pPr>
      <w:r w:rsidRPr="002F1D45">
        <w:rPr>
          <w:b/>
        </w:rPr>
        <w:t xml:space="preserve">BISCOITO ADICIONADO DE FARINHA DE </w:t>
      </w:r>
      <w:r w:rsidR="00665233">
        <w:rPr>
          <w:b/>
        </w:rPr>
        <w:t xml:space="preserve">BAGAÇO DE </w:t>
      </w:r>
      <w:r w:rsidRPr="002F1D45">
        <w:rPr>
          <w:b/>
        </w:rPr>
        <w:t xml:space="preserve">MAÇÃ: CARACTERIZAÇÃO </w:t>
      </w:r>
      <w:r w:rsidR="003756FA">
        <w:rPr>
          <w:b/>
        </w:rPr>
        <w:t xml:space="preserve">QUÍMICA E </w:t>
      </w:r>
      <w:r w:rsidRPr="002F1D45">
        <w:rPr>
          <w:b/>
        </w:rPr>
        <w:t xml:space="preserve">SENSORIAL </w:t>
      </w:r>
    </w:p>
    <w:p w:rsidR="00770796" w:rsidRPr="00DD06D0" w:rsidRDefault="00770796" w:rsidP="00770796">
      <w:pPr>
        <w:jc w:val="center"/>
      </w:pPr>
    </w:p>
    <w:p w:rsidR="00770796" w:rsidRPr="00DD06D0" w:rsidRDefault="00770796" w:rsidP="00770796">
      <w:pPr>
        <w:rPr>
          <w:b/>
        </w:rPr>
      </w:pPr>
    </w:p>
    <w:p w:rsidR="00770796" w:rsidRPr="00DD06D0" w:rsidRDefault="00B80212" w:rsidP="00770796">
      <w:pPr>
        <w:jc w:val="center"/>
        <w:rPr>
          <w:b/>
        </w:rPr>
      </w:pPr>
      <w:r>
        <w:rPr>
          <w:b/>
        </w:rPr>
        <w:t>Camila Pereira Dourado</w:t>
      </w:r>
    </w:p>
    <w:p w:rsidR="00974DCD" w:rsidRDefault="00974DCD" w:rsidP="00974DCD">
      <w:pPr>
        <w:pStyle w:val="Corpodetexto"/>
        <w:spacing w:after="0"/>
        <w:jc w:val="center"/>
        <w:rPr>
          <w:shd w:val="clear" w:color="auto" w:fill="FFFFFF"/>
        </w:rPr>
      </w:pPr>
      <w:r w:rsidRPr="00BF4F10">
        <w:t xml:space="preserve">Nutricionista, formada pela Universidade Estadual do Centro-Oeste (UNICENTRO), Guarapuava, PR. </w:t>
      </w:r>
      <w:hyperlink r:id="rId7" w:history="1">
        <w:r w:rsidRPr="00BF4F10">
          <w:rPr>
            <w:rStyle w:val="Hyperlink"/>
            <w:shd w:val="clear" w:color="auto" w:fill="FFFFFF"/>
          </w:rPr>
          <w:t>camila-pd@hotmail.com</w:t>
        </w:r>
      </w:hyperlink>
      <w:r>
        <w:t>.</w:t>
      </w:r>
    </w:p>
    <w:p w:rsidR="00974DCD" w:rsidRPr="005350A3" w:rsidRDefault="00974DCD" w:rsidP="00974DCD">
      <w:pPr>
        <w:pStyle w:val="Corpodetexto"/>
        <w:spacing w:after="0"/>
        <w:jc w:val="center"/>
        <w:rPr>
          <w:b/>
          <w:bCs/>
        </w:rPr>
      </w:pPr>
      <w:r w:rsidRPr="005350A3">
        <w:rPr>
          <w:b/>
          <w:bCs/>
        </w:rPr>
        <w:t>Patricia Tozatti</w:t>
      </w:r>
    </w:p>
    <w:p w:rsidR="005350A3" w:rsidRDefault="005350A3" w:rsidP="00770796">
      <w:pPr>
        <w:pStyle w:val="Corpodetexto"/>
        <w:spacing w:after="0"/>
        <w:jc w:val="center"/>
        <w:rPr>
          <w:color w:val="000000"/>
          <w:shd w:val="clear" w:color="auto" w:fill="FFFFFF"/>
        </w:rPr>
      </w:pPr>
      <w:r w:rsidRPr="005350A3">
        <w:rPr>
          <w:shd w:val="clear" w:color="auto" w:fill="FFFFFF"/>
        </w:rPr>
        <w:t>Acadêmica do curso de Engenharia de Alimentos da Universidade Estadual do Centro-Oeste (UNICENTRO), Guarapuava, PR</w:t>
      </w:r>
      <w:r>
        <w:rPr>
          <w:shd w:val="clear" w:color="auto" w:fill="FFFFFF"/>
        </w:rPr>
        <w:t xml:space="preserve">. </w:t>
      </w:r>
      <w:hyperlink r:id="rId8" w:history="1">
        <w:r w:rsidR="001649B0" w:rsidRPr="00F519BF">
          <w:rPr>
            <w:rStyle w:val="Hyperlink"/>
            <w:shd w:val="clear" w:color="auto" w:fill="FFFFFF"/>
          </w:rPr>
          <w:t>pati_tozatti@hotmail.com</w:t>
        </w:r>
      </w:hyperlink>
      <w:r>
        <w:rPr>
          <w:color w:val="000000"/>
          <w:shd w:val="clear" w:color="auto" w:fill="FFFFFF"/>
        </w:rPr>
        <w:t>.</w:t>
      </w:r>
    </w:p>
    <w:p w:rsidR="00974DCD" w:rsidRPr="00497608" w:rsidRDefault="00974DCD" w:rsidP="00974DCD">
      <w:pPr>
        <w:pStyle w:val="Corpodetexto"/>
        <w:spacing w:after="0"/>
        <w:jc w:val="center"/>
        <w:rPr>
          <w:b/>
          <w:bCs/>
        </w:rPr>
      </w:pPr>
      <w:r w:rsidRPr="00497608">
        <w:rPr>
          <w:b/>
          <w:bCs/>
        </w:rPr>
        <w:t xml:space="preserve">Julhyene Stoski </w:t>
      </w:r>
    </w:p>
    <w:p w:rsidR="00974DCD" w:rsidRDefault="00755BB8" w:rsidP="00974DCD">
      <w:pPr>
        <w:pStyle w:val="Corpodetexto"/>
        <w:spacing w:after="0"/>
        <w:jc w:val="center"/>
        <w:rPr>
          <w:color w:val="000000"/>
          <w:shd w:val="clear" w:color="auto" w:fill="FFFFFF"/>
        </w:rPr>
      </w:pPr>
      <w:r w:rsidRPr="00BF4F10">
        <w:t>Nutricionista, formada pela Universidade Estadual do Centro-Oeste (UNICENTRO), Guarapuava, PR.</w:t>
      </w:r>
      <w:r w:rsidR="0085314D">
        <w:t xml:space="preserve"> </w:t>
      </w:r>
      <w:hyperlink r:id="rId9" w:history="1">
        <w:r w:rsidR="00974DCD" w:rsidRPr="00A40BD8">
          <w:rPr>
            <w:rStyle w:val="Hyperlink"/>
            <w:shd w:val="clear" w:color="auto" w:fill="FFFFFF"/>
          </w:rPr>
          <w:t>ju.stoski@hotmail.com</w:t>
        </w:r>
      </w:hyperlink>
      <w:r w:rsidR="00024604">
        <w:rPr>
          <w:color w:val="000000"/>
          <w:shd w:val="clear" w:color="auto" w:fill="FFFFFF"/>
        </w:rPr>
        <w:t>.</w:t>
      </w:r>
    </w:p>
    <w:p w:rsidR="00974DCD" w:rsidRDefault="00974DCD" w:rsidP="00974DCD">
      <w:pPr>
        <w:pStyle w:val="Corpodetexto"/>
        <w:spacing w:after="0"/>
        <w:jc w:val="center"/>
        <w:rPr>
          <w:b/>
          <w:bCs/>
        </w:rPr>
      </w:pPr>
      <w:r w:rsidRPr="00497608">
        <w:rPr>
          <w:b/>
          <w:bCs/>
        </w:rPr>
        <w:t>Dianessa Côgo de Freitas</w:t>
      </w:r>
    </w:p>
    <w:p w:rsidR="00974DCD" w:rsidRPr="003A47E4" w:rsidRDefault="00974DCD" w:rsidP="00974DCD">
      <w:pPr>
        <w:pStyle w:val="Corpodetexto"/>
        <w:spacing w:after="0"/>
        <w:jc w:val="center"/>
        <w:rPr>
          <w:rStyle w:val="blockemailnoname2"/>
          <w:color w:val="000000"/>
          <w:shd w:val="clear" w:color="auto" w:fill="FFFFFF"/>
        </w:rPr>
      </w:pPr>
      <w:r w:rsidRPr="00BF4F10">
        <w:t xml:space="preserve">Nutricionista, formada pela Universidade Estadual do Centro-Oeste (UNICENTRO), Guarapuava, PR. </w:t>
      </w:r>
      <w:hyperlink r:id="rId10" w:history="1">
        <w:r w:rsidRPr="00A40BD8">
          <w:rPr>
            <w:rStyle w:val="Hyperlink"/>
            <w:shd w:val="clear" w:color="auto" w:fill="FFFFFF"/>
          </w:rPr>
          <w:t>dianessa.cogo@hotmail.com</w:t>
        </w:r>
      </w:hyperlink>
      <w:r w:rsidR="00024604">
        <w:rPr>
          <w:color w:val="000000"/>
          <w:shd w:val="clear" w:color="auto" w:fill="FFFFFF"/>
        </w:rPr>
        <w:t>.</w:t>
      </w:r>
    </w:p>
    <w:p w:rsidR="00974DCD" w:rsidRPr="00BF4F10" w:rsidRDefault="00974DCD" w:rsidP="00974DCD">
      <w:pPr>
        <w:jc w:val="center"/>
        <w:rPr>
          <w:b/>
        </w:rPr>
      </w:pPr>
      <w:r w:rsidRPr="00BF4F10">
        <w:rPr>
          <w:b/>
        </w:rPr>
        <w:t>Daiana Novello</w:t>
      </w:r>
    </w:p>
    <w:p w:rsidR="00974DCD" w:rsidRPr="00BF4F10" w:rsidRDefault="00974DCD" w:rsidP="00974DCD">
      <w:pPr>
        <w:pStyle w:val="Corpodetexto"/>
        <w:spacing w:after="0"/>
        <w:jc w:val="center"/>
      </w:pPr>
      <w:r w:rsidRPr="00BF4F10">
        <w:t xml:space="preserve">Doutora, Professora Adjunta do Curso de Nutrição, Docente do Mestrado Interdisciplinar em Desenvolvimento Comunitário da Universidade Estadual do Centro-Oeste (UNICENTRO), Guarapuava, PR. Líder do Grupo de Pesquisa em Ciências da Alimentação e Nutrição da UNICENTRO. </w:t>
      </w:r>
      <w:hyperlink r:id="rId11" w:history="1">
        <w:r w:rsidRPr="00BF4F10">
          <w:rPr>
            <w:rStyle w:val="Hyperlink"/>
          </w:rPr>
          <w:t>nutridai@hotmail.com</w:t>
        </w:r>
      </w:hyperlink>
    </w:p>
    <w:p w:rsidR="00770796" w:rsidRPr="003A47E4" w:rsidRDefault="00974DCD" w:rsidP="003A47E4">
      <w:pPr>
        <w:pStyle w:val="Corpodetexto"/>
        <w:spacing w:after="0"/>
        <w:jc w:val="center"/>
        <w:rPr>
          <w:b/>
          <w:color w:val="2A2A2A"/>
        </w:rPr>
      </w:pPr>
      <w:r w:rsidRPr="00C05B23">
        <w:rPr>
          <w:b/>
          <w:bCs/>
          <w:lang w:val="it-IT"/>
        </w:rPr>
        <w:t>José Raniere Mazile Vidal Bezerra</w:t>
      </w:r>
    </w:p>
    <w:p w:rsidR="00C05B23" w:rsidRDefault="00C05B23" w:rsidP="00770796">
      <w:pPr>
        <w:pStyle w:val="Corpodetexto"/>
        <w:spacing w:after="0"/>
        <w:jc w:val="center"/>
        <w:rPr>
          <w:color w:val="333333"/>
          <w:shd w:val="clear" w:color="auto" w:fill="FFFFFF"/>
        </w:rPr>
      </w:pPr>
      <w:r w:rsidRPr="00C05B23">
        <w:rPr>
          <w:shd w:val="clear" w:color="auto" w:fill="FFFFFF"/>
        </w:rPr>
        <w:t>Doutor, Professor Associado do Curso de Engenharia de Alimentos, da Universidade Estadual do Centro-Oeste (UNICENTRO), Guarapuava, PR.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hyperlink r:id="rId12" w:history="1">
        <w:r w:rsidRPr="000C6D28">
          <w:rPr>
            <w:rStyle w:val="Hyperlink"/>
            <w:shd w:val="clear" w:color="auto" w:fill="FFFFFF"/>
          </w:rPr>
          <w:t>raniere@unicentro.br</w:t>
        </w:r>
      </w:hyperlink>
      <w:r>
        <w:rPr>
          <w:color w:val="333333"/>
          <w:shd w:val="clear" w:color="auto" w:fill="FFFFFF"/>
        </w:rPr>
        <w:t>.</w:t>
      </w:r>
    </w:p>
    <w:p w:rsidR="00770796" w:rsidRPr="00DD06D0" w:rsidRDefault="00770796" w:rsidP="00770796">
      <w:pPr>
        <w:pBdr>
          <w:bottom w:val="thickThinSmallGap" w:sz="24" w:space="1" w:color="008000"/>
        </w:pBdr>
        <w:jc w:val="center"/>
        <w:rPr>
          <w:b/>
          <w:bCs/>
        </w:rPr>
      </w:pPr>
    </w:p>
    <w:p w:rsidR="00770796" w:rsidRPr="00DD06D0" w:rsidRDefault="00770796" w:rsidP="00770796">
      <w:pPr>
        <w:jc w:val="center"/>
        <w:rPr>
          <w:bCs/>
        </w:rPr>
      </w:pPr>
    </w:p>
    <w:p w:rsidR="00770796" w:rsidRPr="00DD06D0" w:rsidRDefault="00770796" w:rsidP="00770796">
      <w:pPr>
        <w:pStyle w:val="Ttulo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70796" w:rsidRDefault="00770796" w:rsidP="0083456F">
      <w:pPr>
        <w:pStyle w:val="Ttulo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DD06D0">
        <w:rPr>
          <w:rFonts w:ascii="Times New Roman" w:hAnsi="Times New Roman" w:cs="Times New Roman"/>
          <w:i w:val="0"/>
          <w:sz w:val="24"/>
          <w:szCs w:val="24"/>
        </w:rPr>
        <w:t>RESUMO</w:t>
      </w:r>
    </w:p>
    <w:p w:rsidR="00C96910" w:rsidRDefault="00C96910" w:rsidP="009E60CF">
      <w:pPr>
        <w:ind w:right="44"/>
        <w:jc w:val="both"/>
      </w:pPr>
    </w:p>
    <w:p w:rsidR="009E60CF" w:rsidRDefault="009E60CF" w:rsidP="009E60CF">
      <w:pPr>
        <w:ind w:right="44"/>
        <w:jc w:val="both"/>
      </w:pPr>
      <w:r w:rsidRPr="00BF4F10">
        <w:t>Visto que a maioria da população não consome a quantidade diária adequada de</w:t>
      </w:r>
      <w:r w:rsidRPr="002F1D45">
        <w:t xml:space="preserve"> fibras, diversos produtos</w:t>
      </w:r>
      <w:r w:rsidR="00FE05FE">
        <w:t>,</w:t>
      </w:r>
      <w:r w:rsidR="003236D1" w:rsidRPr="002F1D45">
        <w:t xml:space="preserve"> como os biscoitos, poderiam</w:t>
      </w:r>
      <w:r w:rsidRPr="002F1D45">
        <w:t xml:space="preserve"> ser utilizados para melhorar o aporte nutricional da população em geral</w:t>
      </w:r>
      <w:r w:rsidR="00EE6E7D">
        <w:t>, através da adição de novos ingredientes</w:t>
      </w:r>
      <w:r w:rsidRPr="002F1D45">
        <w:t xml:space="preserve">. Diante disso, o objetivo desse estudo foi elaborar biscoitos com adição de farinha de </w:t>
      </w:r>
      <w:r w:rsidR="00665233">
        <w:t xml:space="preserve">bagaço de </w:t>
      </w:r>
      <w:r w:rsidRPr="002F1D45">
        <w:t xml:space="preserve">maçã e verificar sua aceitabilidade sensorial e composição química teórica. Foram elaborados três tipos de biscoitos, sendo um padrão (F1 - 0%) e os demais contendo 8,5% (F2) e 14,2% (F3) de farinha de </w:t>
      </w:r>
      <w:r w:rsidR="00665233">
        <w:t xml:space="preserve">bagaço de </w:t>
      </w:r>
      <w:r w:rsidRPr="002F1D45">
        <w:t xml:space="preserve">maçã. Não houve diferença </w:t>
      </w:r>
      <w:r w:rsidRPr="00B03830">
        <w:t xml:space="preserve">estatística nos atributos avaliados </w:t>
      </w:r>
      <w:r w:rsidR="003756FA">
        <w:t xml:space="preserve">de </w:t>
      </w:r>
      <w:r w:rsidRPr="00B03830">
        <w:t xml:space="preserve">aparência, aroma, sabor e cor para as três formulações. </w:t>
      </w:r>
      <w:r w:rsidR="0054758C" w:rsidRPr="002F1D45">
        <w:t xml:space="preserve">A adição de 8,5 e 14,2% de farinha de </w:t>
      </w:r>
      <w:r w:rsidR="00665233">
        <w:t xml:space="preserve">bagaço de </w:t>
      </w:r>
      <w:r w:rsidR="0054758C" w:rsidRPr="002F1D45">
        <w:t xml:space="preserve">maçã </w:t>
      </w:r>
      <w:r w:rsidR="0054758C">
        <w:t>elevou os teores de cinzas, carboidratos, calorias e fibras, entretanto reduziram os conteúdos de proteínas e umidade</w:t>
      </w:r>
      <w:r w:rsidR="00B03830" w:rsidRPr="00B03830">
        <w:t xml:space="preserve">. </w:t>
      </w:r>
      <w:r w:rsidRPr="00B03830">
        <w:t>As amostras</w:t>
      </w:r>
      <w:r w:rsidRPr="002F1D45">
        <w:t xml:space="preserve"> F2 e F3 apresentaram maiores teores de fibra alimentar (</w:t>
      </w:r>
      <w:r w:rsidR="003756FA">
        <w:t>5,47</w:t>
      </w:r>
      <w:r w:rsidRPr="002F1D45">
        <w:t xml:space="preserve"> g e </w:t>
      </w:r>
      <w:r w:rsidR="003756FA">
        <w:t>7,80 g, respectivamente) que F1 (2,01</w:t>
      </w:r>
      <w:r w:rsidRPr="002F1D45">
        <w:t xml:space="preserve"> g). Sendo assim, a farinha de </w:t>
      </w:r>
      <w:r w:rsidR="00665233">
        <w:t xml:space="preserve">bagaço de </w:t>
      </w:r>
      <w:r w:rsidRPr="002F1D45">
        <w:t>maçã pode ser considerada um ingrediente em potencial para ser utilizada em biscoitos e similares, podendo ser oferecidos aos consumidores com ampla expectativa de aceitação no mercado.</w:t>
      </w:r>
    </w:p>
    <w:p w:rsidR="009E60CF" w:rsidRDefault="009E60CF" w:rsidP="00770796">
      <w:pPr>
        <w:jc w:val="both"/>
      </w:pPr>
    </w:p>
    <w:p w:rsidR="009E60CF" w:rsidRDefault="00770796" w:rsidP="00770796">
      <w:pPr>
        <w:jc w:val="both"/>
      </w:pPr>
      <w:r w:rsidRPr="00DD06D0">
        <w:rPr>
          <w:b/>
          <w:caps/>
        </w:rPr>
        <w:t>Palavras-chave:</w:t>
      </w:r>
      <w:r w:rsidRPr="00DD06D0">
        <w:t xml:space="preserve"> </w:t>
      </w:r>
      <w:r w:rsidR="009E60CF">
        <w:t xml:space="preserve">Cereal, nutrição, frutas. </w:t>
      </w:r>
    </w:p>
    <w:p w:rsidR="009E60CF" w:rsidRDefault="009E60CF" w:rsidP="009E60CF">
      <w:pPr>
        <w:jc w:val="center"/>
      </w:pPr>
    </w:p>
    <w:p w:rsidR="009E60CF" w:rsidRDefault="009E60CF" w:rsidP="009E60CF">
      <w:pPr>
        <w:jc w:val="center"/>
      </w:pPr>
    </w:p>
    <w:p w:rsidR="00CD6739" w:rsidRDefault="00CD6739" w:rsidP="009E60CF">
      <w:pPr>
        <w:jc w:val="center"/>
      </w:pPr>
    </w:p>
    <w:p w:rsidR="00CD6739" w:rsidRDefault="00CD6739" w:rsidP="009E60CF">
      <w:pPr>
        <w:jc w:val="center"/>
      </w:pPr>
    </w:p>
    <w:p w:rsidR="00A55EAA" w:rsidRDefault="009E60CF" w:rsidP="00A55EAA">
      <w:pPr>
        <w:jc w:val="center"/>
        <w:rPr>
          <w:b/>
          <w:lang w:val="en-US"/>
        </w:rPr>
      </w:pPr>
      <w:r w:rsidRPr="002D58ED">
        <w:rPr>
          <w:b/>
          <w:lang w:val="en-US"/>
        </w:rPr>
        <w:lastRenderedPageBreak/>
        <w:t xml:space="preserve">COOKIE </w:t>
      </w:r>
      <w:r w:rsidR="00C24F9E" w:rsidRPr="002D58ED">
        <w:rPr>
          <w:b/>
          <w:lang w:val="en-US"/>
        </w:rPr>
        <w:t xml:space="preserve">ADDED TO </w:t>
      </w:r>
      <w:r w:rsidR="00C24F9E" w:rsidRPr="00C24F9E">
        <w:rPr>
          <w:b/>
          <w:lang w:val="en-US"/>
        </w:rPr>
        <w:t>APPLE POMACE FLOUR</w:t>
      </w:r>
      <w:r w:rsidRPr="002D58ED">
        <w:rPr>
          <w:b/>
          <w:lang w:val="en-US"/>
        </w:rPr>
        <w:t xml:space="preserve">: </w:t>
      </w:r>
      <w:r w:rsidR="003756FA" w:rsidRPr="003756FA">
        <w:rPr>
          <w:b/>
          <w:lang w:val="en-US"/>
        </w:rPr>
        <w:t xml:space="preserve">CHEMICAL AND </w:t>
      </w:r>
      <w:r w:rsidRPr="002D58ED">
        <w:rPr>
          <w:b/>
          <w:lang w:val="en-US"/>
        </w:rPr>
        <w:t>SENSORY CHARACTERIZATION</w:t>
      </w:r>
    </w:p>
    <w:p w:rsidR="003756FA" w:rsidRDefault="003756FA" w:rsidP="00770796">
      <w:pPr>
        <w:pStyle w:val="Ttulo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770796" w:rsidRPr="007A7359" w:rsidRDefault="00F379E8" w:rsidP="00770796">
      <w:pPr>
        <w:pStyle w:val="Ttulo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7A7359">
        <w:rPr>
          <w:rFonts w:ascii="Times New Roman" w:hAnsi="Times New Roman" w:cs="Times New Roman"/>
          <w:i w:val="0"/>
          <w:sz w:val="24"/>
          <w:szCs w:val="24"/>
          <w:lang w:val="en-US"/>
        </w:rPr>
        <w:t>ABSTRACT</w:t>
      </w:r>
      <w:r w:rsidR="00770796" w:rsidRPr="007A735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:rsidR="00111959" w:rsidRPr="007A7359" w:rsidRDefault="00111959" w:rsidP="00111959">
      <w:pPr>
        <w:rPr>
          <w:lang w:val="en-US"/>
        </w:rPr>
      </w:pPr>
    </w:p>
    <w:p w:rsidR="00A55EAA" w:rsidRPr="00A55EAA" w:rsidRDefault="00A55EAA" w:rsidP="00A55EAA">
      <w:pPr>
        <w:jc w:val="both"/>
        <w:rPr>
          <w:lang w:val="en-US"/>
        </w:rPr>
      </w:pPr>
      <w:r w:rsidRPr="002D58ED">
        <w:rPr>
          <w:lang w:val="en-US"/>
        </w:rPr>
        <w:t>Seeing that most people do not consume adequate daily amount of fiber, various products, such as cookies, could be used to improve the nutritional support of the general population</w:t>
      </w:r>
      <w:r w:rsidR="00EE6E7D" w:rsidRPr="00EE6E7D">
        <w:rPr>
          <w:lang w:val="en-US"/>
        </w:rPr>
        <w:t xml:space="preserve"> by adding new ingredients</w:t>
      </w:r>
      <w:r w:rsidRPr="002D58ED">
        <w:rPr>
          <w:lang w:val="en-US"/>
        </w:rPr>
        <w:t xml:space="preserve">. Therefore, the objective of this study was to prepare cookies with added </w:t>
      </w:r>
      <w:r w:rsidR="00C24F9E" w:rsidRPr="00C24F9E">
        <w:rPr>
          <w:lang w:val="en-US"/>
        </w:rPr>
        <w:t xml:space="preserve">apple pomace flour </w:t>
      </w:r>
      <w:r w:rsidRPr="002D58ED">
        <w:rPr>
          <w:lang w:val="en-US"/>
        </w:rPr>
        <w:t>and verify its sensory acceptability and theo</w:t>
      </w:r>
      <w:r w:rsidR="003236D1">
        <w:rPr>
          <w:lang w:val="en-US"/>
        </w:rPr>
        <w:t>retical chemistry</w:t>
      </w:r>
      <w:r w:rsidR="00CA1D97">
        <w:rPr>
          <w:lang w:val="en-US"/>
        </w:rPr>
        <w:t xml:space="preserve"> composition</w:t>
      </w:r>
      <w:r w:rsidR="003236D1">
        <w:rPr>
          <w:lang w:val="en-US"/>
        </w:rPr>
        <w:t>. Were prepare</w:t>
      </w:r>
      <w:r w:rsidRPr="002D58ED">
        <w:rPr>
          <w:lang w:val="en-US"/>
        </w:rPr>
        <w:t xml:space="preserve"> three kinds of cookies, a standard (F1 - 0 %) and the other containing 8.5% (F2) and </w:t>
      </w:r>
      <w:r w:rsidR="00CA1D97">
        <w:rPr>
          <w:lang w:val="en-US"/>
        </w:rPr>
        <w:t>14.2</w:t>
      </w:r>
      <w:r w:rsidRPr="002D58ED">
        <w:rPr>
          <w:lang w:val="en-US"/>
        </w:rPr>
        <w:t xml:space="preserve">% (F3) </w:t>
      </w:r>
      <w:r w:rsidR="00C24F9E" w:rsidRPr="00C24F9E">
        <w:rPr>
          <w:lang w:val="en-US"/>
        </w:rPr>
        <w:t>apple pomace flour</w:t>
      </w:r>
      <w:r w:rsidRPr="002D58ED">
        <w:rPr>
          <w:lang w:val="en-US"/>
        </w:rPr>
        <w:t xml:space="preserve">. There was no statistical difference in the attributes evaluated appearance, aroma, </w:t>
      </w:r>
      <w:r w:rsidR="00BF2FCD">
        <w:rPr>
          <w:lang w:val="en-US"/>
        </w:rPr>
        <w:t>taste</w:t>
      </w:r>
      <w:r w:rsidRPr="002D58ED">
        <w:rPr>
          <w:lang w:val="en-US"/>
        </w:rPr>
        <w:t xml:space="preserve"> and color for the three formulations. </w:t>
      </w:r>
      <w:r w:rsidR="0054758C" w:rsidRPr="0054758C">
        <w:rPr>
          <w:lang w:val="en-US"/>
        </w:rPr>
        <w:t xml:space="preserve">The addition of 8.5 and 14.2% of </w:t>
      </w:r>
      <w:r w:rsidR="00C24F9E" w:rsidRPr="00C24F9E">
        <w:rPr>
          <w:lang w:val="en-US"/>
        </w:rPr>
        <w:t xml:space="preserve">apple pomace flour </w:t>
      </w:r>
      <w:r w:rsidR="0054758C" w:rsidRPr="0054758C">
        <w:rPr>
          <w:lang w:val="en-US"/>
        </w:rPr>
        <w:t>increased the contents of ash, carbohydrates, calories and fiber, however reduced contents of protein and moisture.</w:t>
      </w:r>
      <w:r w:rsidR="0054758C">
        <w:rPr>
          <w:lang w:val="en-US"/>
        </w:rPr>
        <w:t xml:space="preserve"> </w:t>
      </w:r>
      <w:r w:rsidRPr="002D58ED">
        <w:rPr>
          <w:lang w:val="en-US"/>
        </w:rPr>
        <w:t>The samples F2 and F3 showed higher levels of dietary fiber (</w:t>
      </w:r>
      <w:r w:rsidR="00F00BC7">
        <w:rPr>
          <w:lang w:val="en-US"/>
        </w:rPr>
        <w:t>5.47</w:t>
      </w:r>
      <w:r w:rsidRPr="002D58ED">
        <w:rPr>
          <w:lang w:val="en-US"/>
        </w:rPr>
        <w:t xml:space="preserve"> g, </w:t>
      </w:r>
      <w:r w:rsidR="00F00BC7">
        <w:rPr>
          <w:lang w:val="en-US"/>
        </w:rPr>
        <w:t>7.80</w:t>
      </w:r>
      <w:r w:rsidRPr="002D58ED">
        <w:rPr>
          <w:lang w:val="en-US"/>
        </w:rPr>
        <w:t xml:space="preserve"> g, respectively) than F1 (2.</w:t>
      </w:r>
      <w:r w:rsidR="00F00BC7">
        <w:rPr>
          <w:lang w:val="en-US"/>
        </w:rPr>
        <w:t>01</w:t>
      </w:r>
      <w:r w:rsidRPr="002D58ED">
        <w:rPr>
          <w:lang w:val="en-US"/>
        </w:rPr>
        <w:t xml:space="preserve"> g). Thus, the </w:t>
      </w:r>
      <w:r w:rsidR="00C24F9E" w:rsidRPr="00C24F9E">
        <w:rPr>
          <w:lang w:val="en-US"/>
        </w:rPr>
        <w:t xml:space="preserve">apple pomace flour </w:t>
      </w:r>
      <w:r w:rsidRPr="002D58ED">
        <w:rPr>
          <w:lang w:val="en-US"/>
        </w:rPr>
        <w:t>can be considered a potential ingredient to be use in cookies and the like, may be offered to consumers with wide expectations of market acceptance.</w:t>
      </w:r>
    </w:p>
    <w:p w:rsidR="00F00BC7" w:rsidRPr="00E57FB8" w:rsidRDefault="00F00BC7" w:rsidP="00770796">
      <w:pPr>
        <w:jc w:val="both"/>
        <w:rPr>
          <w:b/>
          <w:caps/>
          <w:lang w:val="en-US"/>
        </w:rPr>
      </w:pPr>
    </w:p>
    <w:p w:rsidR="00A55EAA" w:rsidRDefault="00843AD4" w:rsidP="00770796">
      <w:pPr>
        <w:jc w:val="both"/>
      </w:pPr>
      <w:r>
        <w:rPr>
          <w:b/>
          <w:caps/>
        </w:rPr>
        <w:t>keywords</w:t>
      </w:r>
      <w:r w:rsidR="00770796" w:rsidRPr="00DD06D0">
        <w:rPr>
          <w:b/>
          <w:caps/>
        </w:rPr>
        <w:t>:</w:t>
      </w:r>
      <w:r w:rsidR="00770796" w:rsidRPr="00DD06D0">
        <w:t xml:space="preserve"> </w:t>
      </w:r>
      <w:r w:rsidR="00A55EAA">
        <w:t>C</w:t>
      </w:r>
      <w:r w:rsidR="00A55EAA" w:rsidRPr="002D58ED">
        <w:t>ereal, nutrition, fruits.</w:t>
      </w:r>
    </w:p>
    <w:p w:rsidR="00770796" w:rsidRPr="00DD06D0" w:rsidRDefault="00770796" w:rsidP="00770796">
      <w:pPr>
        <w:jc w:val="center"/>
      </w:pPr>
    </w:p>
    <w:p w:rsidR="00770796" w:rsidRDefault="00770796" w:rsidP="00770796">
      <w:pPr>
        <w:jc w:val="both"/>
      </w:pPr>
    </w:p>
    <w:p w:rsidR="006B50B5" w:rsidRPr="002F1D45" w:rsidRDefault="006B50B5" w:rsidP="006B50B5">
      <w:pPr>
        <w:jc w:val="center"/>
        <w:rPr>
          <w:b/>
        </w:rPr>
      </w:pPr>
      <w:r w:rsidRPr="002F1D45">
        <w:rPr>
          <w:b/>
        </w:rPr>
        <w:t xml:space="preserve">BISCOITO ADICIONADO DE FARINHA DE </w:t>
      </w:r>
      <w:r w:rsidR="00665233">
        <w:rPr>
          <w:b/>
        </w:rPr>
        <w:t xml:space="preserve">BAGAÇO DE </w:t>
      </w:r>
      <w:r w:rsidRPr="002F1D45">
        <w:rPr>
          <w:b/>
        </w:rPr>
        <w:t xml:space="preserve">MAÇÃ: CARACTERIZAÇÃO </w:t>
      </w:r>
      <w:r w:rsidR="00F00BC7">
        <w:rPr>
          <w:b/>
        </w:rPr>
        <w:t xml:space="preserve">QUÍMICA E </w:t>
      </w:r>
      <w:r w:rsidRPr="002F1D45">
        <w:rPr>
          <w:b/>
        </w:rPr>
        <w:t xml:space="preserve">SENSORIAL </w:t>
      </w:r>
    </w:p>
    <w:p w:rsidR="00770796" w:rsidRPr="00DD06D0" w:rsidRDefault="00770796" w:rsidP="00770796">
      <w:pPr>
        <w:jc w:val="center"/>
      </w:pPr>
    </w:p>
    <w:p w:rsidR="00770796" w:rsidRPr="00DD06D0" w:rsidRDefault="00770796" w:rsidP="00770796">
      <w:pPr>
        <w:pStyle w:val="Ttulo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50B31" w:rsidRDefault="00770796" w:rsidP="00111959">
      <w:pPr>
        <w:pStyle w:val="Ttulo2"/>
        <w:spacing w:before="0" w:after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6D0">
        <w:rPr>
          <w:rFonts w:ascii="Times New Roman" w:hAnsi="Times New Roman" w:cs="Times New Roman"/>
          <w:i w:val="0"/>
          <w:sz w:val="24"/>
          <w:szCs w:val="24"/>
        </w:rPr>
        <w:t>INTRODUÇÃO</w:t>
      </w:r>
    </w:p>
    <w:p w:rsidR="00F37552" w:rsidRDefault="00F37552" w:rsidP="00F37552"/>
    <w:p w:rsidR="00980F4C" w:rsidRDefault="00980F4C" w:rsidP="00CE2B2B">
      <w:pPr>
        <w:pStyle w:val="Ttulo2"/>
        <w:spacing w:before="0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980F4C">
        <w:rPr>
          <w:rFonts w:ascii="Times New Roman" w:hAnsi="Times New Roman" w:cs="Times New Roman"/>
          <w:b w:val="0"/>
          <w:i w:val="0"/>
          <w:sz w:val="24"/>
        </w:rPr>
        <w:t>Biscoito é o produto obtido pelo amassamento e cozimento de</w:t>
      </w:r>
      <w:r w:rsidR="00C230CB">
        <w:rPr>
          <w:rFonts w:ascii="Times New Roman" w:hAnsi="Times New Roman" w:cs="Times New Roman"/>
          <w:b w:val="0"/>
          <w:i w:val="0"/>
          <w:sz w:val="24"/>
        </w:rPr>
        <w:t xml:space="preserve"> uma massa preparada com farinhas e/ou</w:t>
      </w:r>
      <w:r w:rsidRPr="00980F4C">
        <w:rPr>
          <w:rFonts w:ascii="Times New Roman" w:hAnsi="Times New Roman" w:cs="Times New Roman"/>
          <w:b w:val="0"/>
          <w:i w:val="0"/>
          <w:sz w:val="24"/>
        </w:rPr>
        <w:t xml:space="preserve"> amidos, fermentada ou não</w:t>
      </w:r>
      <w:r w:rsidR="00C230CB">
        <w:rPr>
          <w:rFonts w:ascii="Times New Roman" w:hAnsi="Times New Roman" w:cs="Times New Roman"/>
          <w:b w:val="0"/>
          <w:i w:val="0"/>
          <w:sz w:val="24"/>
        </w:rPr>
        <w:t>, contendo</w:t>
      </w:r>
      <w:r w:rsidRPr="00980F4C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C230CB">
        <w:rPr>
          <w:rFonts w:ascii="Times New Roman" w:hAnsi="Times New Roman" w:cs="Times New Roman"/>
          <w:b w:val="0"/>
          <w:i w:val="0"/>
          <w:sz w:val="24"/>
        </w:rPr>
        <w:t>outras substâncias alimentícias.</w:t>
      </w:r>
      <w:r w:rsidRPr="00980F4C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C230CB">
        <w:rPr>
          <w:rFonts w:ascii="Times New Roman" w:hAnsi="Times New Roman" w:cs="Times New Roman"/>
          <w:b w:val="0"/>
          <w:i w:val="0"/>
          <w:sz w:val="24"/>
        </w:rPr>
        <w:t>T</w:t>
      </w:r>
      <w:r w:rsidRPr="00980F4C">
        <w:rPr>
          <w:rFonts w:ascii="Times New Roman" w:hAnsi="Times New Roman" w:cs="Times New Roman"/>
          <w:b w:val="0"/>
          <w:i w:val="0"/>
          <w:sz w:val="24"/>
        </w:rPr>
        <w:t xml:space="preserve">em como característica uma baixa atividade de água, o que aumenta </w:t>
      </w:r>
      <w:r w:rsidR="005347D5">
        <w:rPr>
          <w:rFonts w:ascii="Times New Roman" w:hAnsi="Times New Roman" w:cs="Times New Roman"/>
          <w:b w:val="0"/>
          <w:i w:val="0"/>
          <w:sz w:val="24"/>
        </w:rPr>
        <w:t>sua vida de prateleira (MORETTO;</w:t>
      </w:r>
      <w:r w:rsidRPr="00980F4C">
        <w:rPr>
          <w:rFonts w:ascii="Times New Roman" w:hAnsi="Times New Roman" w:cs="Times New Roman"/>
          <w:b w:val="0"/>
          <w:i w:val="0"/>
          <w:sz w:val="24"/>
        </w:rPr>
        <w:t xml:space="preserve"> FETT, 1999). O tempo de armazenamento de um produto consiste no período em que </w:t>
      </w:r>
      <w:r w:rsidR="00C230CB">
        <w:rPr>
          <w:rFonts w:ascii="Times New Roman" w:hAnsi="Times New Roman" w:cs="Times New Roman"/>
          <w:b w:val="0"/>
          <w:i w:val="0"/>
          <w:sz w:val="24"/>
        </w:rPr>
        <w:t>este</w:t>
      </w:r>
      <w:r w:rsidRPr="00980F4C">
        <w:rPr>
          <w:rFonts w:ascii="Times New Roman" w:hAnsi="Times New Roman" w:cs="Times New Roman"/>
          <w:b w:val="0"/>
          <w:i w:val="0"/>
          <w:sz w:val="24"/>
        </w:rPr>
        <w:t xml:space="preserve"> apresenta alterações aceitáveis pelo fabricante, pelo consumidor e pela legislação em vigor, desde que conservado em adequadas condições de temperatura (MOURA et al., 2007). </w:t>
      </w:r>
    </w:p>
    <w:p w:rsidR="00350B31" w:rsidRPr="00350B31" w:rsidRDefault="00350B31" w:rsidP="00350B31"/>
    <w:p w:rsidR="00980F4C" w:rsidRDefault="00980F4C" w:rsidP="00980F4C">
      <w:pPr>
        <w:jc w:val="both"/>
        <w:rPr>
          <w:bCs/>
        </w:rPr>
      </w:pPr>
      <w:r w:rsidRPr="002F1D45">
        <w:rPr>
          <w:bCs/>
        </w:rPr>
        <w:t>A</w:t>
      </w:r>
      <w:r w:rsidR="00A76802">
        <w:rPr>
          <w:bCs/>
        </w:rPr>
        <w:t xml:space="preserve">lguns alimentos como frutas e verduras podem ser adicionados como ingredientes em biscoitos, entretanto é necessária a utilização de processos como a </w:t>
      </w:r>
      <w:r w:rsidR="00A76802" w:rsidRPr="002F1D45">
        <w:rPr>
          <w:bCs/>
        </w:rPr>
        <w:t xml:space="preserve">desidratação, </w:t>
      </w:r>
      <w:r w:rsidR="00A76802">
        <w:rPr>
          <w:bCs/>
        </w:rPr>
        <w:t xml:space="preserve">que </w:t>
      </w:r>
      <w:r w:rsidRPr="002F1D45">
        <w:rPr>
          <w:bCs/>
        </w:rPr>
        <w:t>reduz</w:t>
      </w:r>
      <w:r w:rsidR="008E0F1B">
        <w:rPr>
          <w:bCs/>
        </w:rPr>
        <w:t>em</w:t>
      </w:r>
      <w:r w:rsidR="00A76802">
        <w:rPr>
          <w:bCs/>
        </w:rPr>
        <w:t xml:space="preserve"> a atividade de água</w:t>
      </w:r>
      <w:r w:rsidRPr="002F1D45">
        <w:rPr>
          <w:bCs/>
        </w:rPr>
        <w:t xml:space="preserve"> </w:t>
      </w:r>
      <w:r w:rsidR="00A76802">
        <w:rPr>
          <w:bCs/>
        </w:rPr>
        <w:t>e aument</w:t>
      </w:r>
      <w:r w:rsidR="008E0F1B">
        <w:rPr>
          <w:bCs/>
        </w:rPr>
        <w:t>a</w:t>
      </w:r>
      <w:r w:rsidR="00A76802">
        <w:rPr>
          <w:bCs/>
        </w:rPr>
        <w:t>m</w:t>
      </w:r>
      <w:r w:rsidRPr="002F1D45">
        <w:rPr>
          <w:bCs/>
        </w:rPr>
        <w:t xml:space="preserve"> a vida de prateleira </w:t>
      </w:r>
      <w:r w:rsidR="00A76802">
        <w:rPr>
          <w:bCs/>
        </w:rPr>
        <w:t>dos produtos</w:t>
      </w:r>
      <w:r w:rsidRPr="002F1D45">
        <w:rPr>
          <w:bCs/>
        </w:rPr>
        <w:t xml:space="preserve">, cooperando também para a diminuição do volume de armazenamento e facilitando o transporte. </w:t>
      </w:r>
      <w:r w:rsidR="008E0F1B">
        <w:rPr>
          <w:bCs/>
        </w:rPr>
        <w:t>Outros</w:t>
      </w:r>
      <w:r w:rsidRPr="002F1D45">
        <w:rPr>
          <w:bCs/>
        </w:rPr>
        <w:t xml:space="preserve"> processos</w:t>
      </w:r>
      <w:r w:rsidR="008E0F1B" w:rsidRPr="008E0F1B">
        <w:rPr>
          <w:bCs/>
        </w:rPr>
        <w:t xml:space="preserve"> </w:t>
      </w:r>
      <w:r w:rsidRPr="002F1D45">
        <w:rPr>
          <w:bCs/>
        </w:rPr>
        <w:t xml:space="preserve">como </w:t>
      </w:r>
      <w:r w:rsidR="008E0F1B">
        <w:rPr>
          <w:bCs/>
        </w:rPr>
        <w:t xml:space="preserve">a </w:t>
      </w:r>
      <w:r w:rsidRPr="002F1D45">
        <w:rPr>
          <w:bCs/>
        </w:rPr>
        <w:t>lavagem, corte, branqueamento e outras etapas, auxiliam para uma melhor obtenção do alimento desidratado (VASQUES et al., 2006).</w:t>
      </w:r>
    </w:p>
    <w:p w:rsidR="00350B31" w:rsidRPr="002F1D45" w:rsidRDefault="00350B31" w:rsidP="00980F4C">
      <w:pPr>
        <w:jc w:val="both"/>
        <w:rPr>
          <w:bCs/>
        </w:rPr>
      </w:pPr>
    </w:p>
    <w:p w:rsidR="00980F4C" w:rsidRPr="002F1D45" w:rsidRDefault="00980F4C" w:rsidP="00980F4C">
      <w:pPr>
        <w:jc w:val="both"/>
      </w:pPr>
      <w:r w:rsidRPr="002F1D45">
        <w:rPr>
          <w:bCs/>
        </w:rPr>
        <w:t xml:space="preserve">Proveniente da árvore </w:t>
      </w:r>
      <w:r w:rsidRPr="002F1D45">
        <w:rPr>
          <w:i/>
          <w:iCs/>
        </w:rPr>
        <w:t xml:space="preserve">Pyrus Mallus, </w:t>
      </w:r>
      <w:r w:rsidRPr="002F1D45">
        <w:rPr>
          <w:iCs/>
        </w:rPr>
        <w:t xml:space="preserve">a maçã é um fruto de polpa homogênea, pele firme e impermeável e, dependendo da espécie, pode ter um sabor ácido, agridoce ou farináceo. Contém, aproximadamente, 85% de água, sendo considerado, portanto um fruto rico nesta substância. </w:t>
      </w:r>
      <w:r w:rsidRPr="002F1D45">
        <w:t xml:space="preserve">A maçã pode auxiliar na manutenção da saúde, redução do risco de doenças cardíacas e excesso de colesterol sanguíneo, principalmente devido à sua alta composição em fibras e potássio (CÓRDOVA, 2006). O Brasil cultiva maçãs há pouco mais de 30 anos, com cerca de 100% da produção nacional na Região Sul. A maçã brasileira compete </w:t>
      </w:r>
      <w:r w:rsidRPr="002F1D45">
        <w:lastRenderedPageBreak/>
        <w:t xml:space="preserve">com os melhores produtos do mercado mundial, pois além de sua produtividade, os resultados da qualidade do produto final são excelentes (MOURA et al., 2007). De acordo com a Embrapa (2003), este alimento já conquistou outros países, pois 10 a 20% da fruta são exportados para diversos mercados, principalmente para a Europa. Entretanto, o baixo consumo de vegetais frescos </w:t>
      </w:r>
      <w:r w:rsidR="00BB1086">
        <w:t>pel</w:t>
      </w:r>
      <w:r w:rsidRPr="002F1D45">
        <w:t>a população brasileira desencadeia uma ingestão de fibras, vitaminas e minerais</w:t>
      </w:r>
      <w:r w:rsidR="00BB1086">
        <w:t xml:space="preserve"> inadequada</w:t>
      </w:r>
      <w:r w:rsidRPr="002F1D45">
        <w:t xml:space="preserve">. </w:t>
      </w:r>
      <w:r w:rsidR="00BB1086">
        <w:t>Nesse sentido</w:t>
      </w:r>
      <w:r w:rsidRPr="002F1D45">
        <w:t xml:space="preserve">, </w:t>
      </w:r>
      <w:r w:rsidR="00BB1086">
        <w:t xml:space="preserve">são relevantes </w:t>
      </w:r>
      <w:r w:rsidRPr="002F1D45">
        <w:t>alternativas para elevar o consumo desses nutrientes, destacando-se a produção de novos itens alimentícios, que sejam acessíveis às classes menos favorecidas economicamente, mas que tenham um valor nutricional superior ao alimento origin</w:t>
      </w:r>
      <w:r w:rsidR="00BB1086">
        <w:t xml:space="preserve">al. Uma alternativa é a utilização </w:t>
      </w:r>
      <w:r w:rsidRPr="002F1D45">
        <w:t xml:space="preserve">de ingredientes </w:t>
      </w:r>
      <w:r w:rsidR="00BB1086">
        <w:t xml:space="preserve">não convencionais em produtos comumente consumidos </w:t>
      </w:r>
      <w:r w:rsidRPr="002F1D45">
        <w:t xml:space="preserve">(FASOLIN et al., 2007).  </w:t>
      </w:r>
    </w:p>
    <w:p w:rsidR="00350B31" w:rsidRDefault="00350B31" w:rsidP="00980F4C">
      <w:pPr>
        <w:jc w:val="both"/>
      </w:pPr>
    </w:p>
    <w:p w:rsidR="00980F4C" w:rsidRDefault="00980F4C" w:rsidP="00980F4C">
      <w:pPr>
        <w:jc w:val="both"/>
      </w:pPr>
      <w:r w:rsidRPr="002F1D45">
        <w:t xml:space="preserve">Atualmente, as farinhas mistas começaram a substituir a farinha de trigo em massas alimentícias, biscoitos e produtos de padaria, melhorando </w:t>
      </w:r>
      <w:r w:rsidR="00BB1086">
        <w:t>o perfil</w:t>
      </w:r>
      <w:r w:rsidRPr="002F1D45">
        <w:t xml:space="preserve"> nutricional e diversificando os produtos. Porém, alguns efeitos na cor, sabor e textura </w:t>
      </w:r>
      <w:r w:rsidR="00BB1086">
        <w:t>podem ser verificados</w:t>
      </w:r>
      <w:r w:rsidRPr="002F1D45">
        <w:t xml:space="preserve">, o que requer uma avaliação detalhada da aceitabilidade sensorial (BARBOSA, 2002; VIEIRA et al., 2010). Diante do exposto, o presente estudo objetivou elaborar biscoitos adicionados de farinha de </w:t>
      </w:r>
      <w:r w:rsidR="00665233">
        <w:t xml:space="preserve">bagaço </w:t>
      </w:r>
      <w:r w:rsidRPr="002F1D45">
        <w:t>maçã (F</w:t>
      </w:r>
      <w:r w:rsidR="00665233">
        <w:t>B</w:t>
      </w:r>
      <w:r w:rsidRPr="002F1D45">
        <w:t>M), determinando-se suas características sensoriais e composição química teórica.</w:t>
      </w:r>
    </w:p>
    <w:p w:rsidR="00843AD4" w:rsidRDefault="00843AD4" w:rsidP="00980F4C">
      <w:pPr>
        <w:jc w:val="both"/>
      </w:pPr>
    </w:p>
    <w:p w:rsidR="00843AD4" w:rsidRDefault="00843AD4" w:rsidP="00980F4C">
      <w:pPr>
        <w:jc w:val="both"/>
      </w:pPr>
    </w:p>
    <w:p w:rsidR="00843AD4" w:rsidRDefault="00843AD4" w:rsidP="00111959">
      <w:pPr>
        <w:pStyle w:val="Corpodetexto31"/>
        <w:tabs>
          <w:tab w:val="left" w:pos="0"/>
          <w:tab w:val="left" w:pos="7655"/>
          <w:tab w:val="left" w:pos="7797"/>
        </w:tabs>
        <w:spacing w:after="120"/>
        <w:ind w:right="-709"/>
        <w:jc w:val="both"/>
        <w:rPr>
          <w:rFonts w:cs="Times New Roman"/>
          <w:b/>
          <w:sz w:val="24"/>
        </w:rPr>
      </w:pPr>
      <w:r w:rsidRPr="00843AD4">
        <w:rPr>
          <w:rFonts w:cs="Times New Roman"/>
          <w:b/>
          <w:sz w:val="24"/>
        </w:rPr>
        <w:t>MATERIAL E MÉTODOS</w:t>
      </w:r>
    </w:p>
    <w:p w:rsidR="00F37552" w:rsidRPr="00843AD4" w:rsidRDefault="00F37552" w:rsidP="00111959">
      <w:pPr>
        <w:pStyle w:val="Corpodetexto31"/>
        <w:tabs>
          <w:tab w:val="left" w:pos="0"/>
          <w:tab w:val="left" w:pos="7655"/>
          <w:tab w:val="left" w:pos="7797"/>
        </w:tabs>
        <w:spacing w:after="120"/>
        <w:ind w:right="-709"/>
        <w:jc w:val="both"/>
        <w:rPr>
          <w:rFonts w:cs="Times New Roman"/>
          <w:b/>
          <w:sz w:val="24"/>
        </w:rPr>
      </w:pPr>
    </w:p>
    <w:p w:rsidR="00843AD4" w:rsidRPr="00D054B9" w:rsidRDefault="00843AD4" w:rsidP="00111959">
      <w:pPr>
        <w:pStyle w:val="Corpodetexto31"/>
        <w:tabs>
          <w:tab w:val="left" w:pos="0"/>
          <w:tab w:val="left" w:pos="7655"/>
          <w:tab w:val="left" w:pos="7797"/>
        </w:tabs>
        <w:spacing w:after="120"/>
        <w:ind w:right="-709"/>
        <w:jc w:val="both"/>
        <w:rPr>
          <w:rFonts w:cs="Times New Roman"/>
          <w:b/>
          <w:sz w:val="24"/>
        </w:rPr>
      </w:pPr>
      <w:r w:rsidRPr="00843AD4">
        <w:rPr>
          <w:rFonts w:cs="Times New Roman"/>
          <w:b/>
          <w:sz w:val="24"/>
        </w:rPr>
        <w:t xml:space="preserve">Obtenção da farinha de </w:t>
      </w:r>
      <w:r w:rsidR="00665233">
        <w:rPr>
          <w:rFonts w:cs="Times New Roman"/>
          <w:b/>
          <w:sz w:val="24"/>
        </w:rPr>
        <w:t xml:space="preserve">bagaço de </w:t>
      </w:r>
      <w:r w:rsidRPr="00843AD4">
        <w:rPr>
          <w:rFonts w:cs="Times New Roman"/>
          <w:b/>
          <w:sz w:val="24"/>
        </w:rPr>
        <w:t>maçã</w:t>
      </w:r>
    </w:p>
    <w:p w:rsidR="00843AD4" w:rsidRPr="000679C3" w:rsidRDefault="00843AD4" w:rsidP="00D054B9">
      <w:pPr>
        <w:spacing w:after="240"/>
        <w:jc w:val="both"/>
      </w:pPr>
      <w:r w:rsidRPr="00843AD4">
        <w:t>As maçãs (</w:t>
      </w:r>
      <w:r w:rsidRPr="00843AD4">
        <w:rPr>
          <w:i/>
        </w:rPr>
        <w:t>Malus domestica</w:t>
      </w:r>
      <w:r w:rsidRPr="00843AD4">
        <w:t>) de melhor aparência fora</w:t>
      </w:r>
      <w:r w:rsidR="003656AA">
        <w:t>m adquiridas em supermercados do</w:t>
      </w:r>
      <w:r w:rsidRPr="00843AD4">
        <w:t xml:space="preserve"> </w:t>
      </w:r>
      <w:r w:rsidR="003656AA">
        <w:t>município</w:t>
      </w:r>
      <w:r w:rsidRPr="00843AD4">
        <w:t xml:space="preserve"> de Guarapuava, PR, provenientes de um único lote. Inicialmente, as maçãs foram higienizadas em água corrente e, em seguida,</w:t>
      </w:r>
      <w:r>
        <w:t xml:space="preserve"> </w:t>
      </w:r>
      <w:r w:rsidRPr="00843AD4">
        <w:t xml:space="preserve">cortadas ao meio sendo retiradas as </w:t>
      </w:r>
      <w:r w:rsidRPr="000679C3">
        <w:t xml:space="preserve">sementes. </w:t>
      </w:r>
    </w:p>
    <w:p w:rsidR="00843AD4" w:rsidRPr="00843AD4" w:rsidRDefault="00843AD4" w:rsidP="00843AD4">
      <w:pPr>
        <w:jc w:val="both"/>
      </w:pPr>
      <w:r w:rsidRPr="000679C3">
        <w:t xml:space="preserve">A </w:t>
      </w:r>
      <w:r w:rsidR="000679C3" w:rsidRPr="000679C3">
        <w:t>FBM</w:t>
      </w:r>
      <w:r w:rsidRPr="000679C3">
        <w:t xml:space="preserve"> foi produzida no Laboratório de Processos na Indústria de Alimentos na Universidade Estadual do Centro-Oeste (UNICENTRO), Guarapuava, PR. Para o preparo da </w:t>
      </w:r>
      <w:r w:rsidR="003656AA" w:rsidRPr="000679C3">
        <w:t>F</w:t>
      </w:r>
      <w:r w:rsidR="000679C3" w:rsidRPr="000679C3">
        <w:t>B</w:t>
      </w:r>
      <w:r w:rsidR="003656AA" w:rsidRPr="000679C3">
        <w:t>M</w:t>
      </w:r>
      <w:r w:rsidRPr="000679C3">
        <w:t>, as maçãs</w:t>
      </w:r>
      <w:r w:rsidR="000679C3" w:rsidRPr="000679C3">
        <w:t xml:space="preserve"> com casca </w:t>
      </w:r>
      <w:r w:rsidRPr="000679C3">
        <w:t>foram trituradas em liquidificador (Metvisa</w:t>
      </w:r>
      <w:r w:rsidRPr="000679C3">
        <w:rPr>
          <w:vertAlign w:val="superscript"/>
        </w:rPr>
        <w:t>®</w:t>
      </w:r>
      <w:r w:rsidRPr="000679C3">
        <w:t>, Brasil).</w:t>
      </w:r>
      <w:r w:rsidRPr="000679C3">
        <w:rPr>
          <w:color w:val="FF0000"/>
        </w:rPr>
        <w:t xml:space="preserve"> </w:t>
      </w:r>
      <w:r w:rsidRPr="000679C3">
        <w:rPr>
          <w:color w:val="000000"/>
        </w:rPr>
        <w:t>O</w:t>
      </w:r>
      <w:r w:rsidRPr="000679C3">
        <w:t xml:space="preserve"> bagaço foi separado do suco utilizando uma peneira comum e posteriormente foi seco usando secador de bandejas </w:t>
      </w:r>
      <w:r w:rsidRPr="000679C3">
        <w:rPr>
          <w:color w:val="000000"/>
        </w:rPr>
        <w:t>(Pardal</w:t>
      </w:r>
      <w:r w:rsidRPr="000679C3">
        <w:rPr>
          <w:vertAlign w:val="superscript"/>
        </w:rPr>
        <w:t>®</w:t>
      </w:r>
      <w:r w:rsidRPr="000679C3">
        <w:rPr>
          <w:color w:val="000000"/>
        </w:rPr>
        <w:t>,</w:t>
      </w:r>
      <w:r w:rsidRPr="000679C3">
        <w:rPr>
          <w:color w:val="FF0000"/>
        </w:rPr>
        <w:t xml:space="preserve"> </w:t>
      </w:r>
      <w:r w:rsidRPr="000679C3">
        <w:rPr>
          <w:color w:val="000000"/>
        </w:rPr>
        <w:t>Brasil) a</w:t>
      </w:r>
      <w:r w:rsidRPr="000679C3">
        <w:t xml:space="preserve"> uma temperatura de 60 °C, por aproximadamente 72 horas. Após esse período, o conteúdo de umidade do produto foi reduzido a 8,18%.</w:t>
      </w:r>
      <w:r w:rsidRPr="00843AD4">
        <w:t xml:space="preserve"> </w:t>
      </w:r>
    </w:p>
    <w:p w:rsidR="00843AD4" w:rsidRDefault="00843AD4" w:rsidP="00843AD4">
      <w:pPr>
        <w:jc w:val="both"/>
      </w:pPr>
      <w:r w:rsidRPr="00843AD4">
        <w:tab/>
      </w:r>
    </w:p>
    <w:p w:rsidR="00843AD4" w:rsidRDefault="00843AD4" w:rsidP="00843AD4">
      <w:pPr>
        <w:pStyle w:val="Corpodetexto"/>
        <w:jc w:val="both"/>
        <w:rPr>
          <w:b/>
        </w:rPr>
      </w:pPr>
      <w:r w:rsidRPr="00843AD4">
        <w:rPr>
          <w:b/>
        </w:rPr>
        <w:t>Formulaç</w:t>
      </w:r>
      <w:r w:rsidR="00111959">
        <w:rPr>
          <w:b/>
        </w:rPr>
        <w:t>ões</w:t>
      </w:r>
    </w:p>
    <w:p w:rsidR="00843AD4" w:rsidRPr="00843AD4" w:rsidRDefault="00843AD4" w:rsidP="008B3ED1">
      <w:pPr>
        <w:pStyle w:val="Corpodetexto"/>
        <w:spacing w:after="0"/>
        <w:jc w:val="both"/>
        <w:rPr>
          <w:b/>
        </w:rPr>
      </w:pPr>
      <w:r w:rsidRPr="00843AD4">
        <w:t xml:space="preserve">Foram elaboradas três formulações de biscoitos, sendo </w:t>
      </w:r>
      <w:r w:rsidR="005347D5">
        <w:t xml:space="preserve">uma </w:t>
      </w:r>
      <w:r w:rsidRPr="00843AD4">
        <w:t>padrão</w:t>
      </w:r>
      <w:r w:rsidR="005347D5">
        <w:t xml:space="preserve"> (F1)</w:t>
      </w:r>
      <w:r w:rsidRPr="00843AD4">
        <w:t xml:space="preserve"> contendo 0% de </w:t>
      </w:r>
      <w:r w:rsidR="005347D5">
        <w:t>F</w:t>
      </w:r>
      <w:r w:rsidR="000679C3">
        <w:t>B</w:t>
      </w:r>
      <w:r w:rsidR="005347D5">
        <w:t>M</w:t>
      </w:r>
      <w:r w:rsidRPr="00843AD4">
        <w:t xml:space="preserve"> e as demais adicionadas de 8,5% (F2) e 14,2% (F3) de </w:t>
      </w:r>
      <w:r w:rsidR="005347D5">
        <w:t>F</w:t>
      </w:r>
      <w:r w:rsidR="000679C3">
        <w:t>B</w:t>
      </w:r>
      <w:r w:rsidR="005347D5">
        <w:t>M</w:t>
      </w:r>
      <w:r w:rsidRPr="00843AD4">
        <w:t>. Na Tabela 1 podem ser verificadas as formulações dos biscoito</w:t>
      </w:r>
      <w:r w:rsidR="0083164B">
        <w:t>s</w:t>
      </w:r>
      <w:r w:rsidRPr="00843AD4">
        <w:t xml:space="preserve">. </w:t>
      </w:r>
    </w:p>
    <w:p w:rsidR="00843AD4" w:rsidRPr="00843AD4" w:rsidRDefault="00843AD4" w:rsidP="00843AD4">
      <w:pPr>
        <w:autoSpaceDE w:val="0"/>
        <w:ind w:right="-14" w:firstLine="700"/>
        <w:jc w:val="both"/>
        <w:rPr>
          <w:color w:val="000000"/>
        </w:rPr>
      </w:pPr>
    </w:p>
    <w:p w:rsidR="00843AD4" w:rsidRPr="008F6721" w:rsidRDefault="00843AD4" w:rsidP="008F6721">
      <w:pPr>
        <w:jc w:val="center"/>
        <w:rPr>
          <w:b/>
        </w:rPr>
      </w:pPr>
      <w:r w:rsidRPr="008F6721">
        <w:rPr>
          <w:b/>
        </w:rPr>
        <w:t>Tabela 1</w:t>
      </w:r>
      <w:r w:rsidR="00111959">
        <w:rPr>
          <w:b/>
        </w:rPr>
        <w:t>.</w:t>
      </w:r>
      <w:r w:rsidRPr="008F6721">
        <w:rPr>
          <w:b/>
        </w:rPr>
        <w:t xml:space="preserve"> Ingredientes das formulações dos biscoitos elaborados com farinha de </w:t>
      </w:r>
      <w:r w:rsidR="00665233">
        <w:rPr>
          <w:b/>
        </w:rPr>
        <w:t xml:space="preserve">bagaço de </w:t>
      </w:r>
      <w:r w:rsidRPr="008F6721">
        <w:rPr>
          <w:b/>
        </w:rPr>
        <w:t>maçã</w:t>
      </w:r>
    </w:p>
    <w:tbl>
      <w:tblPr>
        <w:tblW w:w="8772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0"/>
        <w:gridCol w:w="1843"/>
        <w:gridCol w:w="1984"/>
        <w:gridCol w:w="1985"/>
      </w:tblGrid>
      <w:tr w:rsidR="008F6721" w:rsidRPr="00843AD4" w:rsidTr="007F4FA9">
        <w:tc>
          <w:tcPr>
            <w:tcW w:w="2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F6721" w:rsidRPr="00843AD4" w:rsidRDefault="00111959" w:rsidP="00843AD4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ind w:right="-427"/>
              <w:jc w:val="both"/>
              <w:rPr>
                <w:rFonts w:cs="Times New Roman"/>
                <w:b/>
                <w:iCs/>
                <w:sz w:val="24"/>
              </w:rPr>
            </w:pPr>
            <w:r w:rsidRPr="00843AD4">
              <w:rPr>
                <w:rFonts w:cs="Times New Roman"/>
                <w:b/>
                <w:iCs/>
                <w:sz w:val="24"/>
              </w:rPr>
              <w:t>Ingredientes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8F6721" w:rsidRPr="00843AD4" w:rsidRDefault="008F6721" w:rsidP="005E4C63">
            <w:pPr>
              <w:pStyle w:val="Corpodetexto31"/>
              <w:tabs>
                <w:tab w:val="left" w:pos="175"/>
              </w:tabs>
              <w:snapToGrid w:val="0"/>
              <w:jc w:val="center"/>
              <w:rPr>
                <w:rFonts w:cs="Times New Roman"/>
                <w:b/>
                <w:iCs/>
                <w:sz w:val="24"/>
              </w:rPr>
            </w:pPr>
            <w:r w:rsidRPr="00843AD4">
              <w:rPr>
                <w:rFonts w:cs="Times New Roman"/>
                <w:b/>
                <w:iCs/>
                <w:sz w:val="24"/>
              </w:rPr>
              <w:t>F1 (%)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F6721" w:rsidRPr="00843AD4" w:rsidRDefault="008F6721" w:rsidP="005E4C63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ind w:right="-45"/>
              <w:jc w:val="center"/>
              <w:rPr>
                <w:rFonts w:cs="Times New Roman"/>
                <w:b/>
                <w:iCs/>
                <w:sz w:val="24"/>
              </w:rPr>
            </w:pPr>
            <w:r w:rsidRPr="00843AD4">
              <w:rPr>
                <w:rFonts w:cs="Times New Roman"/>
                <w:b/>
                <w:iCs/>
                <w:sz w:val="24"/>
              </w:rPr>
              <w:t>F2 (%)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6721" w:rsidRPr="00843AD4" w:rsidRDefault="008F6721" w:rsidP="005E4C63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jc w:val="center"/>
              <w:rPr>
                <w:rFonts w:cs="Times New Roman"/>
                <w:b/>
                <w:iCs/>
                <w:sz w:val="24"/>
              </w:rPr>
            </w:pPr>
            <w:r w:rsidRPr="00843AD4">
              <w:rPr>
                <w:rFonts w:cs="Times New Roman"/>
                <w:b/>
                <w:iCs/>
                <w:sz w:val="24"/>
              </w:rPr>
              <w:t>F3 (%)</w:t>
            </w:r>
          </w:p>
        </w:tc>
      </w:tr>
      <w:tr w:rsidR="00843AD4" w:rsidRPr="00843AD4" w:rsidTr="007F4FA9">
        <w:tc>
          <w:tcPr>
            <w:tcW w:w="2960" w:type="dxa"/>
            <w:tcBorders>
              <w:left w:val="single" w:sz="12" w:space="0" w:color="auto"/>
            </w:tcBorders>
            <w:shd w:val="clear" w:color="auto" w:fill="auto"/>
          </w:tcPr>
          <w:p w:rsidR="00843AD4" w:rsidRPr="00843AD4" w:rsidRDefault="00843AD4" w:rsidP="00843AD4">
            <w:pPr>
              <w:pStyle w:val="Corpodetexto31"/>
              <w:snapToGrid w:val="0"/>
              <w:jc w:val="both"/>
              <w:rPr>
                <w:rFonts w:cs="Times New Roman"/>
                <w:sz w:val="24"/>
              </w:rPr>
            </w:pPr>
            <w:bookmarkStart w:id="0" w:name="_Hlk347217628"/>
            <w:r w:rsidRPr="00843AD4">
              <w:rPr>
                <w:rFonts w:cs="Times New Roman"/>
                <w:sz w:val="24"/>
              </w:rPr>
              <w:t>Farinha de trigo refinada</w:t>
            </w:r>
          </w:p>
        </w:tc>
        <w:tc>
          <w:tcPr>
            <w:tcW w:w="1843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28,2</w:t>
            </w:r>
          </w:p>
        </w:tc>
        <w:tc>
          <w:tcPr>
            <w:tcW w:w="1984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ind w:right="-45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19,7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14,1</w:t>
            </w:r>
          </w:p>
        </w:tc>
      </w:tr>
      <w:tr w:rsidR="00843AD4" w:rsidRPr="00843AD4" w:rsidTr="007F4FA9">
        <w:tc>
          <w:tcPr>
            <w:tcW w:w="2960" w:type="dxa"/>
            <w:tcBorders>
              <w:left w:val="single" w:sz="12" w:space="0" w:color="auto"/>
            </w:tcBorders>
            <w:shd w:val="clear" w:color="auto" w:fill="auto"/>
          </w:tcPr>
          <w:p w:rsidR="00843AD4" w:rsidRPr="00843AD4" w:rsidRDefault="00843AD4" w:rsidP="00843AD4">
            <w:pPr>
              <w:pStyle w:val="Corpodetexto31"/>
              <w:snapToGrid w:val="0"/>
              <w:jc w:val="both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Açúcar refinado</w:t>
            </w:r>
          </w:p>
        </w:tc>
        <w:tc>
          <w:tcPr>
            <w:tcW w:w="1843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28,2</w:t>
            </w:r>
          </w:p>
        </w:tc>
        <w:tc>
          <w:tcPr>
            <w:tcW w:w="1984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ind w:right="-45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28,2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28,</w:t>
            </w:r>
            <w:r w:rsidR="00FD500D">
              <w:rPr>
                <w:rFonts w:cs="Times New Roman"/>
                <w:sz w:val="24"/>
              </w:rPr>
              <w:t>2</w:t>
            </w:r>
          </w:p>
        </w:tc>
      </w:tr>
      <w:tr w:rsidR="00843AD4" w:rsidRPr="00843AD4" w:rsidTr="007F4FA9">
        <w:tc>
          <w:tcPr>
            <w:tcW w:w="2960" w:type="dxa"/>
            <w:tcBorders>
              <w:left w:val="single" w:sz="12" w:space="0" w:color="auto"/>
            </w:tcBorders>
            <w:shd w:val="clear" w:color="auto" w:fill="auto"/>
          </w:tcPr>
          <w:p w:rsidR="00843AD4" w:rsidRPr="00843AD4" w:rsidRDefault="00843AD4" w:rsidP="00843AD4">
            <w:pPr>
              <w:pStyle w:val="Corpodetexto31"/>
              <w:snapToGrid w:val="0"/>
              <w:jc w:val="both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Ovos</w:t>
            </w:r>
          </w:p>
        </w:tc>
        <w:tc>
          <w:tcPr>
            <w:tcW w:w="1843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16,9</w:t>
            </w:r>
          </w:p>
        </w:tc>
        <w:tc>
          <w:tcPr>
            <w:tcW w:w="1984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ind w:right="-45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16,9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16,9</w:t>
            </w:r>
          </w:p>
        </w:tc>
      </w:tr>
      <w:tr w:rsidR="00843AD4" w:rsidRPr="00843AD4" w:rsidTr="007F4FA9">
        <w:tc>
          <w:tcPr>
            <w:tcW w:w="2960" w:type="dxa"/>
            <w:tcBorders>
              <w:left w:val="single" w:sz="12" w:space="0" w:color="auto"/>
            </w:tcBorders>
            <w:shd w:val="clear" w:color="auto" w:fill="auto"/>
          </w:tcPr>
          <w:p w:rsidR="00843AD4" w:rsidRPr="00843AD4" w:rsidRDefault="00843AD4" w:rsidP="00843AD4">
            <w:pPr>
              <w:pStyle w:val="Corpodetexto31"/>
              <w:snapToGrid w:val="0"/>
              <w:jc w:val="both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 xml:space="preserve">Aveia </w:t>
            </w:r>
            <w:r w:rsidRPr="00843AD4">
              <w:rPr>
                <w:rFonts w:cs="Times New Roman"/>
                <w:color w:val="auto"/>
                <w:sz w:val="24"/>
              </w:rPr>
              <w:t>em flocos</w:t>
            </w:r>
          </w:p>
        </w:tc>
        <w:tc>
          <w:tcPr>
            <w:tcW w:w="1843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15,0</w:t>
            </w:r>
          </w:p>
        </w:tc>
        <w:tc>
          <w:tcPr>
            <w:tcW w:w="1984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ind w:right="-45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15,0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15,0</w:t>
            </w:r>
          </w:p>
        </w:tc>
      </w:tr>
      <w:tr w:rsidR="00843AD4" w:rsidRPr="00843AD4" w:rsidTr="007F4FA9">
        <w:tc>
          <w:tcPr>
            <w:tcW w:w="2960" w:type="dxa"/>
            <w:tcBorders>
              <w:left w:val="single" w:sz="12" w:space="0" w:color="auto"/>
            </w:tcBorders>
            <w:shd w:val="clear" w:color="auto" w:fill="auto"/>
          </w:tcPr>
          <w:p w:rsidR="00843AD4" w:rsidRPr="00843AD4" w:rsidRDefault="00843AD4" w:rsidP="00843AD4">
            <w:pPr>
              <w:pStyle w:val="Corpodetexto31"/>
              <w:snapToGrid w:val="0"/>
              <w:jc w:val="both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lastRenderedPageBreak/>
              <w:t>Margarina</w:t>
            </w:r>
            <w:r w:rsidR="00092C9B">
              <w:rPr>
                <w:rFonts w:cs="Times New Roman"/>
                <w:sz w:val="24"/>
              </w:rPr>
              <w:t xml:space="preserve"> vegetal</w:t>
            </w:r>
          </w:p>
        </w:tc>
        <w:tc>
          <w:tcPr>
            <w:tcW w:w="1843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11,2</w:t>
            </w:r>
          </w:p>
        </w:tc>
        <w:tc>
          <w:tcPr>
            <w:tcW w:w="1984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ind w:right="-45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11,2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11,2</w:t>
            </w:r>
          </w:p>
        </w:tc>
      </w:tr>
      <w:tr w:rsidR="00843AD4" w:rsidRPr="00843AD4" w:rsidTr="007F4FA9">
        <w:tc>
          <w:tcPr>
            <w:tcW w:w="2960" w:type="dxa"/>
            <w:tcBorders>
              <w:left w:val="single" w:sz="12" w:space="0" w:color="auto"/>
            </w:tcBorders>
            <w:shd w:val="clear" w:color="auto" w:fill="auto"/>
          </w:tcPr>
          <w:p w:rsidR="00843AD4" w:rsidRPr="00843AD4" w:rsidRDefault="00843AD4" w:rsidP="00843AD4">
            <w:pPr>
              <w:pStyle w:val="Corpodetexto31"/>
              <w:snapToGrid w:val="0"/>
              <w:jc w:val="both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 xml:space="preserve">Fermento </w:t>
            </w:r>
            <w:r w:rsidRPr="00843AD4">
              <w:rPr>
                <w:rFonts w:cs="Times New Roman"/>
                <w:color w:val="auto"/>
                <w:sz w:val="24"/>
              </w:rPr>
              <w:t>químico em pó</w:t>
            </w:r>
          </w:p>
        </w:tc>
        <w:tc>
          <w:tcPr>
            <w:tcW w:w="1843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ind w:right="-45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0,5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0,5</w:t>
            </w:r>
          </w:p>
        </w:tc>
      </w:tr>
      <w:tr w:rsidR="00843AD4" w:rsidRPr="00843AD4" w:rsidTr="007F4FA9">
        <w:tc>
          <w:tcPr>
            <w:tcW w:w="2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3AD4" w:rsidRPr="00843AD4" w:rsidRDefault="00843AD4" w:rsidP="00843AD4">
            <w:pPr>
              <w:pStyle w:val="Corpodetexto31"/>
              <w:snapToGrid w:val="0"/>
              <w:jc w:val="both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 xml:space="preserve">Farinha de </w:t>
            </w:r>
            <w:r w:rsidR="00665233">
              <w:rPr>
                <w:rFonts w:cs="Times New Roman"/>
                <w:sz w:val="24"/>
              </w:rPr>
              <w:t xml:space="preserve">bagaço de </w:t>
            </w:r>
            <w:r w:rsidRPr="00843AD4">
              <w:rPr>
                <w:rFonts w:cs="Times New Roman"/>
                <w:sz w:val="24"/>
              </w:rPr>
              <w:t>maçã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843AD4" w:rsidRPr="00843AD4" w:rsidRDefault="00843AD4" w:rsidP="008F6721">
            <w:pPr>
              <w:pStyle w:val="Corpodetexto31"/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0,0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ind w:right="-45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8,5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AD4" w:rsidRPr="00843AD4" w:rsidRDefault="00843AD4" w:rsidP="008F6721">
            <w:pPr>
              <w:pStyle w:val="Corpodetexto31"/>
              <w:tabs>
                <w:tab w:val="left" w:pos="567"/>
                <w:tab w:val="left" w:pos="993"/>
                <w:tab w:val="left" w:pos="8222"/>
                <w:tab w:val="left" w:pos="8505"/>
                <w:tab w:val="left" w:pos="8931"/>
              </w:tabs>
              <w:snapToGrid w:val="0"/>
              <w:jc w:val="center"/>
              <w:rPr>
                <w:rFonts w:cs="Times New Roman"/>
                <w:sz w:val="24"/>
              </w:rPr>
            </w:pPr>
            <w:r w:rsidRPr="00843AD4">
              <w:rPr>
                <w:rFonts w:cs="Times New Roman"/>
                <w:sz w:val="24"/>
              </w:rPr>
              <w:t>14,2</w:t>
            </w:r>
          </w:p>
        </w:tc>
      </w:tr>
      <w:bookmarkEnd w:id="0"/>
    </w:tbl>
    <w:p w:rsidR="002B6B87" w:rsidRDefault="002B6B87" w:rsidP="00FC2B0F">
      <w:pPr>
        <w:autoSpaceDE w:val="0"/>
        <w:ind w:right="-14"/>
        <w:jc w:val="both"/>
      </w:pPr>
    </w:p>
    <w:p w:rsidR="00FC2B0F" w:rsidRPr="008B3ED1" w:rsidRDefault="00843AD4" w:rsidP="00FC2B0F">
      <w:pPr>
        <w:autoSpaceDE w:val="0"/>
        <w:ind w:right="-14"/>
        <w:jc w:val="both"/>
        <w:rPr>
          <w:color w:val="000000"/>
        </w:rPr>
      </w:pPr>
      <w:r w:rsidRPr="008B3ED1">
        <w:t xml:space="preserve">As formulações foram preparadas, individualmente, </w:t>
      </w:r>
      <w:r w:rsidRPr="008B3ED1">
        <w:rPr>
          <w:color w:val="000000"/>
        </w:rPr>
        <w:t>na Usina de Panificação do Departamento de Engenharia de Alimentos da UNICENTRO</w:t>
      </w:r>
      <w:r w:rsidRPr="008B3ED1">
        <w:t>.</w:t>
      </w:r>
    </w:p>
    <w:p w:rsidR="00FC2B0F" w:rsidRPr="008B3ED1" w:rsidRDefault="00FC2B0F" w:rsidP="00FC2B0F">
      <w:pPr>
        <w:autoSpaceDE w:val="0"/>
        <w:ind w:right="-14"/>
        <w:jc w:val="both"/>
        <w:rPr>
          <w:color w:val="000000"/>
        </w:rPr>
      </w:pPr>
    </w:p>
    <w:p w:rsidR="00843AD4" w:rsidRDefault="00843AD4" w:rsidP="00FC2B0F">
      <w:pPr>
        <w:autoSpaceDE w:val="0"/>
        <w:ind w:right="-14"/>
        <w:jc w:val="both"/>
      </w:pPr>
      <w:r w:rsidRPr="008B3ED1">
        <w:t>Primeiramente</w:t>
      </w:r>
      <w:r w:rsidRPr="00843AD4">
        <w:t xml:space="preserve">, os ingredientes secos foram misturados manualmente (farinha de trigo, </w:t>
      </w:r>
      <w:r w:rsidR="00092C9B">
        <w:t>F</w:t>
      </w:r>
      <w:r w:rsidR="000679C3">
        <w:t>B</w:t>
      </w:r>
      <w:r w:rsidR="00092C9B">
        <w:t>M</w:t>
      </w:r>
      <w:r w:rsidRPr="00843AD4">
        <w:t xml:space="preserve"> (F2 e F3), aveia, açúcar e fermento em pó), em seguida juntou-se a margarina e os ovos até formar uma massa homogênea. Os biscoitos foram moldados em unidades circulares, com aproximadamente 5 cm de diâmetro, sendo acondicionados em formas retangulares e assados em forno convencional (Venâncio</w:t>
      </w:r>
      <w:r w:rsidRPr="00843AD4">
        <w:rPr>
          <w:vertAlign w:val="superscript"/>
        </w:rPr>
        <w:t>®</w:t>
      </w:r>
      <w:r w:rsidRPr="00843AD4">
        <w:t>,</w:t>
      </w:r>
      <w:r w:rsidRPr="00843AD4">
        <w:rPr>
          <w:color w:val="FF0000"/>
        </w:rPr>
        <w:t xml:space="preserve"> </w:t>
      </w:r>
      <w:r w:rsidRPr="00843AD4">
        <w:rPr>
          <w:color w:val="000000"/>
        </w:rPr>
        <w:t>Brasil</w:t>
      </w:r>
      <w:r w:rsidRPr="00843AD4">
        <w:t>), em temperatura de 180 ºC, por aproximadamente 20 minutos.</w:t>
      </w:r>
    </w:p>
    <w:p w:rsidR="00FC2B0F" w:rsidRPr="00DA7097" w:rsidRDefault="00FC2B0F" w:rsidP="00FC2B0F">
      <w:pPr>
        <w:autoSpaceDE w:val="0"/>
        <w:ind w:right="-14"/>
        <w:jc w:val="both"/>
        <w:rPr>
          <w:color w:val="000000"/>
        </w:rPr>
      </w:pPr>
    </w:p>
    <w:p w:rsidR="00CB19BA" w:rsidRDefault="00843AD4" w:rsidP="00711AE1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spacing w:after="120"/>
        <w:ind w:right="-709"/>
        <w:jc w:val="both"/>
        <w:rPr>
          <w:rFonts w:cs="Times New Roman"/>
          <w:b/>
          <w:sz w:val="24"/>
        </w:rPr>
      </w:pPr>
      <w:r w:rsidRPr="00843AD4">
        <w:rPr>
          <w:rFonts w:cs="Times New Roman"/>
          <w:b/>
          <w:sz w:val="24"/>
        </w:rPr>
        <w:t>Análise sensorial</w:t>
      </w:r>
    </w:p>
    <w:p w:rsidR="00CB19BA" w:rsidRDefault="00843AD4" w:rsidP="0098711F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ind w:right="-2"/>
        <w:jc w:val="both"/>
        <w:rPr>
          <w:rFonts w:cs="Times New Roman"/>
          <w:sz w:val="24"/>
        </w:rPr>
      </w:pPr>
      <w:r w:rsidRPr="00843AD4">
        <w:rPr>
          <w:rFonts w:cs="Times New Roman"/>
          <w:sz w:val="24"/>
        </w:rPr>
        <w:t>A avaliação sensorial foi realizada no L</w:t>
      </w:r>
      <w:r w:rsidR="00092C9B">
        <w:rPr>
          <w:rFonts w:cs="Times New Roman"/>
          <w:sz w:val="24"/>
        </w:rPr>
        <w:t>aboratório de Análise Sensorial</w:t>
      </w:r>
      <w:r w:rsidRPr="00843AD4">
        <w:rPr>
          <w:rFonts w:cs="Times New Roman"/>
          <w:sz w:val="24"/>
        </w:rPr>
        <w:t xml:space="preserve"> do Departamento de Engenharia de Alimentos da UNICENTRO, em cabines individuais e com iluminação de cor branca.</w:t>
      </w:r>
      <w:r w:rsidR="00092C9B">
        <w:rPr>
          <w:rFonts w:cs="Times New Roman"/>
          <w:sz w:val="24"/>
        </w:rPr>
        <w:t xml:space="preserve"> </w:t>
      </w:r>
      <w:r w:rsidRPr="00843AD4">
        <w:rPr>
          <w:rFonts w:cs="Times New Roman"/>
          <w:sz w:val="24"/>
        </w:rPr>
        <w:t>Participaram da pesquisa 5</w:t>
      </w:r>
      <w:r w:rsidR="00CB19BA">
        <w:rPr>
          <w:rFonts w:cs="Times New Roman"/>
          <w:sz w:val="24"/>
          <w:lang w:val="pt-PT"/>
        </w:rPr>
        <w:t xml:space="preserve">0 provadores não treinados </w:t>
      </w:r>
      <w:r w:rsidRPr="00843AD4">
        <w:rPr>
          <w:rFonts w:cs="Times New Roman"/>
          <w:sz w:val="24"/>
        </w:rPr>
        <w:t xml:space="preserve">do </w:t>
      </w:r>
      <w:r w:rsidRPr="00843AD4">
        <w:rPr>
          <w:rFonts w:cs="Times New Roman"/>
          <w:i/>
          <w:sz w:val="24"/>
        </w:rPr>
        <w:t>Campus</w:t>
      </w:r>
      <w:r w:rsidRPr="00843AD4">
        <w:rPr>
          <w:rFonts w:cs="Times New Roman"/>
          <w:sz w:val="24"/>
        </w:rPr>
        <w:t xml:space="preserve"> Centro de Desenvolvimento Educacional e Tecnológico de Guarapuava (CEDETEG), de ambos os gêneros, com idade entre 17 e 33 anos. </w:t>
      </w:r>
    </w:p>
    <w:p w:rsidR="00CB19BA" w:rsidRDefault="00CB19BA" w:rsidP="0098711F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ind w:right="-2"/>
        <w:jc w:val="both"/>
        <w:rPr>
          <w:rFonts w:cs="Times New Roman"/>
          <w:sz w:val="24"/>
        </w:rPr>
      </w:pPr>
    </w:p>
    <w:p w:rsidR="00CB19BA" w:rsidRDefault="00843AD4" w:rsidP="0098711F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ind w:right="-2"/>
        <w:jc w:val="both"/>
        <w:rPr>
          <w:rFonts w:cs="Times New Roman"/>
          <w:sz w:val="24"/>
        </w:rPr>
      </w:pPr>
      <w:r w:rsidRPr="00843AD4">
        <w:rPr>
          <w:rFonts w:cs="Times New Roman"/>
          <w:sz w:val="24"/>
        </w:rPr>
        <w:t xml:space="preserve">O julgamento sensorial avaliou os atributos de aparência, aroma, sabor e cor. </w:t>
      </w:r>
      <w:r w:rsidRPr="00843AD4">
        <w:rPr>
          <w:rFonts w:cs="Times New Roman"/>
          <w:sz w:val="24"/>
          <w:lang w:val="pt-PT"/>
        </w:rPr>
        <w:t>As amostras foram analisadas através</w:t>
      </w:r>
      <w:r w:rsidRPr="00843AD4">
        <w:rPr>
          <w:rFonts w:cs="Times New Roman"/>
          <w:sz w:val="24"/>
        </w:rPr>
        <w:t xml:space="preserve"> de uma escala hedônica estruturada de 9 pontos</w:t>
      </w:r>
      <w:r w:rsidRPr="00843AD4">
        <w:rPr>
          <w:rFonts w:cs="Times New Roman"/>
          <w:sz w:val="24"/>
          <w:lang w:val="pt-PT"/>
        </w:rPr>
        <w:t>, variando de desgostei muitíssimo (nota 1) a gostei muitíssimo (nota 9)</w:t>
      </w:r>
      <w:r w:rsidRPr="00843AD4">
        <w:rPr>
          <w:rFonts w:cs="Times New Roman"/>
          <w:sz w:val="24"/>
        </w:rPr>
        <w:t xml:space="preserve"> (DUTCOSKY, 2011). </w:t>
      </w:r>
    </w:p>
    <w:p w:rsidR="00CB19BA" w:rsidRDefault="00CB19BA" w:rsidP="0098711F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ind w:right="-2"/>
        <w:jc w:val="both"/>
        <w:rPr>
          <w:rFonts w:cs="Times New Roman"/>
          <w:sz w:val="24"/>
        </w:rPr>
      </w:pPr>
    </w:p>
    <w:p w:rsidR="00843AD4" w:rsidRDefault="00843AD4" w:rsidP="0098711F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ind w:right="-2"/>
        <w:jc w:val="both"/>
        <w:rPr>
          <w:rFonts w:cs="Times New Roman"/>
          <w:sz w:val="24"/>
        </w:rPr>
      </w:pPr>
      <w:r w:rsidRPr="00843AD4">
        <w:rPr>
          <w:rFonts w:cs="Times New Roman"/>
          <w:sz w:val="24"/>
        </w:rPr>
        <w:t>Cada julgador recebeu uma porção de cada amostra (um biscoito, aproximadamente 10 g), em copos plásticos brancos c</w:t>
      </w:r>
      <w:r w:rsidRPr="00843AD4">
        <w:rPr>
          <w:rFonts w:cs="Times New Roman"/>
          <w:sz w:val="24"/>
          <w:lang w:val="pt-PT"/>
        </w:rPr>
        <w:t>odificados com números de três dígitos, de forma casualizada e balanceada, acompanhados de um copo de água para realização do branco entre as amostras. A</w:t>
      </w:r>
      <w:r w:rsidRPr="00843AD4">
        <w:rPr>
          <w:rFonts w:cs="Times New Roman"/>
          <w:sz w:val="24"/>
        </w:rPr>
        <w:t>s formulações foram oferecidas aos julgadores simultaneamente.</w:t>
      </w:r>
    </w:p>
    <w:p w:rsidR="00B55586" w:rsidRPr="00CB19BA" w:rsidRDefault="00B55586" w:rsidP="00CB19BA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ind w:right="-710"/>
        <w:jc w:val="both"/>
        <w:rPr>
          <w:rFonts w:cs="Times New Roman"/>
          <w:b/>
          <w:sz w:val="24"/>
        </w:rPr>
      </w:pPr>
    </w:p>
    <w:p w:rsidR="00F701A8" w:rsidRDefault="00843AD4" w:rsidP="00711AE1">
      <w:pPr>
        <w:spacing w:after="120"/>
        <w:jc w:val="both"/>
        <w:rPr>
          <w:b/>
          <w:bCs/>
        </w:rPr>
      </w:pPr>
      <w:r w:rsidRPr="00843AD4">
        <w:rPr>
          <w:b/>
          <w:bCs/>
        </w:rPr>
        <w:t>Índice de aceitabilidade (IA)</w:t>
      </w:r>
    </w:p>
    <w:p w:rsidR="00843AD4" w:rsidRPr="00F701A8" w:rsidRDefault="00843AD4" w:rsidP="00973B8F">
      <w:pPr>
        <w:jc w:val="both"/>
        <w:rPr>
          <w:b/>
          <w:bCs/>
        </w:rPr>
      </w:pPr>
      <w:r w:rsidRPr="00843AD4">
        <w:t xml:space="preserve">O cálculo do índice de aceitabilidade das cinco formulações foi realizado conforme Monteiro (1984), segundo a fórmula: </w:t>
      </w:r>
      <w:r w:rsidRPr="00843AD4">
        <w:rPr>
          <w:i/>
          <w:iCs/>
        </w:rPr>
        <w:t>IA (%) = A x 100/B (A = nota média obtida para o produto; B = nota máxima dada ao produto)</w:t>
      </w:r>
      <w:r w:rsidRPr="00843AD4">
        <w:t>.</w:t>
      </w:r>
    </w:p>
    <w:p w:rsidR="00843AD4" w:rsidRDefault="00843AD4" w:rsidP="00497F5A">
      <w:pPr>
        <w:pStyle w:val="NormalWeb"/>
        <w:spacing w:before="0" w:after="0"/>
        <w:ind w:firstLine="709"/>
        <w:jc w:val="both"/>
        <w:rPr>
          <w:rFonts w:cs="Times New Roman"/>
          <w:sz w:val="24"/>
          <w:szCs w:val="24"/>
        </w:rPr>
      </w:pPr>
    </w:p>
    <w:p w:rsidR="00F701A8" w:rsidRDefault="00843AD4" w:rsidP="00711AE1">
      <w:pPr>
        <w:spacing w:after="120"/>
        <w:jc w:val="both"/>
        <w:rPr>
          <w:b/>
          <w:bCs/>
        </w:rPr>
      </w:pPr>
      <w:r w:rsidRPr="00843AD4">
        <w:rPr>
          <w:b/>
          <w:bCs/>
        </w:rPr>
        <w:t>Análise teórica da composição química</w:t>
      </w:r>
    </w:p>
    <w:p w:rsidR="00424897" w:rsidRPr="00C94174" w:rsidRDefault="00843AD4" w:rsidP="00424897">
      <w:pPr>
        <w:jc w:val="both"/>
      </w:pPr>
      <w:r w:rsidRPr="00843AD4">
        <w:t xml:space="preserve">Para a </w:t>
      </w:r>
      <w:r w:rsidRPr="003A7D0A">
        <w:t xml:space="preserve">análise da composição química, realizou-se uma avaliação teórica das formulações, através </w:t>
      </w:r>
      <w:r w:rsidR="003A7D0A" w:rsidRPr="003A7D0A">
        <w:t>da Tabela</w:t>
      </w:r>
      <w:r w:rsidR="003A7D0A" w:rsidRPr="003A7D0A">
        <w:rPr>
          <w:rStyle w:val="apple-converted-space"/>
          <w:shd w:val="clear" w:color="auto" w:fill="FFFFFF"/>
        </w:rPr>
        <w:t> </w:t>
      </w:r>
      <w:r w:rsidR="003A7D0A" w:rsidRPr="003A7D0A">
        <w:rPr>
          <w:shd w:val="clear" w:color="auto" w:fill="FFFFFF"/>
        </w:rPr>
        <w:t>Brasileira de Composição de Alimentos</w:t>
      </w:r>
      <w:r w:rsidR="003A7D0A" w:rsidRPr="003A7D0A">
        <w:rPr>
          <w:rStyle w:val="apple-converted-space"/>
          <w:shd w:val="clear" w:color="auto" w:fill="FFFFFF"/>
        </w:rPr>
        <w:t> </w:t>
      </w:r>
      <w:r w:rsidR="00121C2E" w:rsidRPr="003A7D0A">
        <w:t xml:space="preserve"> (</w:t>
      </w:r>
      <w:r w:rsidR="003A7D0A" w:rsidRPr="003A7D0A">
        <w:t xml:space="preserve">TACO, </w:t>
      </w:r>
      <w:r w:rsidR="00121C2E" w:rsidRPr="003A7D0A">
        <w:t>20</w:t>
      </w:r>
      <w:r w:rsidR="003A7D0A" w:rsidRPr="003A7D0A">
        <w:t>11</w:t>
      </w:r>
      <w:r w:rsidRPr="003A7D0A">
        <w:t>)</w:t>
      </w:r>
      <w:r w:rsidR="003A7D0A" w:rsidRPr="003A7D0A">
        <w:t xml:space="preserve"> e </w:t>
      </w:r>
      <w:r w:rsidR="003A7D0A">
        <w:t>Coelho e</w:t>
      </w:r>
      <w:r w:rsidR="003A7D0A" w:rsidRPr="003A7D0A">
        <w:t xml:space="preserve"> Wosiacki (2010) para a </w:t>
      </w:r>
      <w:r w:rsidR="003A7D0A">
        <w:t xml:space="preserve">análise da </w:t>
      </w:r>
      <w:r w:rsidR="003A7D0A" w:rsidRPr="003A7D0A">
        <w:t>F</w:t>
      </w:r>
      <w:r w:rsidR="000679C3">
        <w:t>B</w:t>
      </w:r>
      <w:r w:rsidR="003A7D0A" w:rsidRPr="003A7D0A">
        <w:t>M</w:t>
      </w:r>
      <w:r w:rsidRPr="003A7D0A">
        <w:t>.</w:t>
      </w:r>
      <w:r w:rsidR="00C94174" w:rsidRPr="003A7D0A">
        <w:t xml:space="preserve"> </w:t>
      </w:r>
      <w:r w:rsidR="00424897" w:rsidRPr="003A7D0A">
        <w:t>Foram considerad</w:t>
      </w:r>
      <w:r w:rsidR="00143ED2">
        <w:t xml:space="preserve">as </w:t>
      </w:r>
      <w:r w:rsidR="00424897" w:rsidRPr="003A7D0A">
        <w:t>além da umidade, cinzas, valor calórico e fibra alimentar, os</w:t>
      </w:r>
      <w:r w:rsidR="00424897" w:rsidRPr="00843AD4">
        <w:t xml:space="preserve"> seguintes nutrientes: carboidratos, proteínas e lipídios.</w:t>
      </w:r>
    </w:p>
    <w:p w:rsidR="00497F5A" w:rsidRPr="00843AD4" w:rsidRDefault="00497F5A" w:rsidP="00843AD4">
      <w:pPr>
        <w:pStyle w:val="SemEspaamento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7F5A" w:rsidRDefault="00843AD4" w:rsidP="00711AE1">
      <w:pPr>
        <w:autoSpaceDE w:val="0"/>
        <w:autoSpaceDN w:val="0"/>
        <w:adjustRightInd w:val="0"/>
        <w:spacing w:after="120"/>
        <w:jc w:val="both"/>
        <w:rPr>
          <w:rStyle w:val="mediumtext1"/>
          <w:b/>
          <w:sz w:val="24"/>
          <w:szCs w:val="24"/>
          <w:shd w:val="clear" w:color="auto" w:fill="FFFFFF"/>
        </w:rPr>
      </w:pPr>
      <w:r w:rsidRPr="00843AD4">
        <w:rPr>
          <w:rStyle w:val="mediumtext1"/>
          <w:b/>
          <w:sz w:val="24"/>
          <w:szCs w:val="24"/>
          <w:shd w:val="clear" w:color="auto" w:fill="FFFFFF"/>
        </w:rPr>
        <w:t>Determinação do valor diário de referência (VD)</w:t>
      </w:r>
    </w:p>
    <w:p w:rsidR="006E5450" w:rsidRPr="00497F5A" w:rsidRDefault="006E5450" w:rsidP="006E5450">
      <w:pPr>
        <w:autoSpaceDE w:val="0"/>
        <w:autoSpaceDN w:val="0"/>
        <w:adjustRightInd w:val="0"/>
        <w:jc w:val="both"/>
        <w:rPr>
          <w:rStyle w:val="mediumtext1"/>
          <w:b/>
          <w:sz w:val="24"/>
          <w:szCs w:val="24"/>
          <w:shd w:val="clear" w:color="auto" w:fill="FFFFFF"/>
        </w:rPr>
      </w:pPr>
      <w:r w:rsidRPr="00585D4D">
        <w:rPr>
          <w:color w:val="000000"/>
        </w:rPr>
        <w:t xml:space="preserve">O </w:t>
      </w:r>
      <w:r>
        <w:rPr>
          <w:color w:val="000000"/>
        </w:rPr>
        <w:t>VD foi calculado em relação a 5</w:t>
      </w:r>
      <w:r w:rsidRPr="00585D4D">
        <w:rPr>
          <w:color w:val="000000"/>
        </w:rPr>
        <w:t xml:space="preserve">0 g da amostra, com base nos valores médios preconizados para </w:t>
      </w:r>
      <w:r>
        <w:rPr>
          <w:color w:val="000000"/>
        </w:rPr>
        <w:t xml:space="preserve">adultos de </w:t>
      </w:r>
      <w:r w:rsidRPr="00843AD4">
        <w:rPr>
          <w:rStyle w:val="mediumtext1"/>
          <w:color w:val="000000"/>
          <w:sz w:val="24"/>
          <w:szCs w:val="24"/>
          <w:shd w:val="clear" w:color="auto" w:fill="FFFFFF"/>
        </w:rPr>
        <w:t>17 a 33 anos (DRI, 2005)</w:t>
      </w:r>
      <w:r w:rsidRPr="00585D4D">
        <w:rPr>
          <w:color w:val="000000"/>
        </w:rPr>
        <w:t xml:space="preserve">, </w:t>
      </w:r>
      <w:r w:rsidRPr="00843AD4">
        <w:rPr>
          <w:rStyle w:val="mediumtext1"/>
          <w:color w:val="000000"/>
          <w:sz w:val="24"/>
          <w:szCs w:val="24"/>
          <w:shd w:val="clear" w:color="auto" w:fill="FFFFFF"/>
        </w:rPr>
        <w:t xml:space="preserve">resultando em: </w:t>
      </w:r>
      <w:r w:rsidRPr="00843AD4">
        <w:rPr>
          <w:rStyle w:val="mediumtext1"/>
          <w:sz w:val="24"/>
          <w:szCs w:val="24"/>
          <w:shd w:val="clear" w:color="auto" w:fill="FFFFFF"/>
        </w:rPr>
        <w:t>2</w:t>
      </w:r>
      <w:r w:rsidR="00711AE1">
        <w:rPr>
          <w:rStyle w:val="mediumtext1"/>
          <w:sz w:val="24"/>
          <w:szCs w:val="24"/>
          <w:shd w:val="clear" w:color="auto" w:fill="FFFFFF"/>
        </w:rPr>
        <w:t>.</w:t>
      </w:r>
      <w:r w:rsidRPr="00843AD4">
        <w:rPr>
          <w:rStyle w:val="mediumtext1"/>
          <w:sz w:val="24"/>
          <w:szCs w:val="24"/>
          <w:shd w:val="clear" w:color="auto" w:fill="FFFFFF"/>
        </w:rPr>
        <w:t>107,90 kcal, 276,18 g de carboidratos, 74,6 g de proteínas, 77,05 g de lipídios, 14,31 g de fibra alimentar.</w:t>
      </w:r>
    </w:p>
    <w:p w:rsidR="00497F5A" w:rsidRDefault="00497F5A" w:rsidP="00843AD4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ind w:right="-710"/>
        <w:jc w:val="both"/>
        <w:rPr>
          <w:rFonts w:cs="Times New Roman"/>
          <w:b/>
          <w:sz w:val="24"/>
        </w:rPr>
      </w:pPr>
    </w:p>
    <w:p w:rsidR="00543103" w:rsidRDefault="00543103" w:rsidP="00843AD4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ind w:right="-710"/>
        <w:jc w:val="both"/>
        <w:rPr>
          <w:rFonts w:cs="Times New Roman"/>
          <w:b/>
          <w:sz w:val="24"/>
        </w:rPr>
      </w:pPr>
    </w:p>
    <w:p w:rsidR="0098711F" w:rsidRDefault="00843AD4" w:rsidP="00711AE1">
      <w:pPr>
        <w:spacing w:after="120"/>
        <w:jc w:val="both"/>
        <w:rPr>
          <w:b/>
        </w:rPr>
      </w:pPr>
      <w:r w:rsidRPr="00843AD4">
        <w:rPr>
          <w:b/>
        </w:rPr>
        <w:lastRenderedPageBreak/>
        <w:t>Questões éticas</w:t>
      </w:r>
    </w:p>
    <w:p w:rsidR="00843AD4" w:rsidRPr="0098711F" w:rsidRDefault="00D96CF2" w:rsidP="0098711F">
      <w:pPr>
        <w:jc w:val="both"/>
        <w:rPr>
          <w:b/>
        </w:rPr>
      </w:pPr>
      <w:r>
        <w:t>Foram</w:t>
      </w:r>
      <w:r w:rsidR="000405C5">
        <w:t xml:space="preserve"> incluído</w:t>
      </w:r>
      <w:r>
        <w:t>s</w:t>
      </w:r>
      <w:r w:rsidR="000405C5">
        <w:t xml:space="preserve"> na pesquisa indivíduos</w:t>
      </w:r>
      <w:r w:rsidR="00843AD4" w:rsidRPr="00843AD4">
        <w:t xml:space="preserve"> com idade correspondent</w:t>
      </w:r>
      <w:r w:rsidR="0008503D">
        <w:t>e a faixa do estudo e aqueles</w:t>
      </w:r>
      <w:r w:rsidR="00843AD4" w:rsidRPr="00843AD4">
        <w:t xml:space="preserve"> que assinaram o Termo de Consentimento Livre e Esclarecido (TCLE). Todas as normas da Resolução nº 196/96 do Conselho Nacional de Saúde foram seguidas para realização dessa pesquisa.</w:t>
      </w:r>
      <w:r w:rsidR="0008503D">
        <w:t xml:space="preserve"> </w:t>
      </w:r>
      <w:r w:rsidR="00843AD4" w:rsidRPr="00843AD4">
        <w:t>Como critérios de exclusão foram considerados os seguintes fatores: possuir alergia a algum ingrediente utilizado na elaboração dos produtos</w:t>
      </w:r>
      <w:r w:rsidR="0008503D">
        <w:t>, possuir idade maior ou menor</w:t>
      </w:r>
      <w:r w:rsidR="00843AD4" w:rsidRPr="00843AD4">
        <w:t xml:space="preserve"> que</w:t>
      </w:r>
      <w:r w:rsidR="0008503D">
        <w:t xml:space="preserve"> a faixa de interesse do estudo</w:t>
      </w:r>
      <w:r w:rsidR="00843AD4" w:rsidRPr="00843AD4">
        <w:t xml:space="preserve"> e aqueles que não assinaram o TCLE. </w:t>
      </w:r>
    </w:p>
    <w:p w:rsidR="00843AD4" w:rsidRDefault="00843AD4" w:rsidP="00843AD4">
      <w:pPr>
        <w:jc w:val="both"/>
        <w:rPr>
          <w:b/>
          <w:bCs/>
        </w:rPr>
      </w:pPr>
    </w:p>
    <w:p w:rsidR="00C706AF" w:rsidRDefault="00843AD4" w:rsidP="00711AE1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spacing w:after="120"/>
        <w:ind w:right="-709"/>
        <w:jc w:val="both"/>
        <w:rPr>
          <w:rFonts w:cs="Times New Roman"/>
          <w:b/>
          <w:sz w:val="24"/>
        </w:rPr>
      </w:pPr>
      <w:r w:rsidRPr="00843AD4">
        <w:rPr>
          <w:rFonts w:cs="Times New Roman"/>
          <w:b/>
          <w:sz w:val="24"/>
        </w:rPr>
        <w:t xml:space="preserve">Análise estatística </w:t>
      </w:r>
    </w:p>
    <w:p w:rsidR="00843AD4" w:rsidRPr="00C706AF" w:rsidRDefault="00843AD4" w:rsidP="00EC33D6">
      <w:pPr>
        <w:pStyle w:val="Corpodetexto31"/>
        <w:tabs>
          <w:tab w:val="left" w:pos="567"/>
          <w:tab w:val="left" w:pos="993"/>
          <w:tab w:val="left" w:pos="7655"/>
          <w:tab w:val="left" w:pos="7797"/>
        </w:tabs>
        <w:ind w:right="-2"/>
        <w:jc w:val="both"/>
        <w:rPr>
          <w:rFonts w:cs="Times New Roman"/>
          <w:b/>
          <w:sz w:val="24"/>
        </w:rPr>
      </w:pPr>
      <w:r w:rsidRPr="00843AD4">
        <w:rPr>
          <w:rFonts w:cs="Times New Roman"/>
          <w:sz w:val="24"/>
        </w:rPr>
        <w:t xml:space="preserve">Os dados foram analisados com auxílio do </w:t>
      </w:r>
      <w:r w:rsidRPr="00843AD4">
        <w:rPr>
          <w:rFonts w:cs="Times New Roman"/>
          <w:i/>
          <w:sz w:val="24"/>
        </w:rPr>
        <w:t>software Statgraphics plus</w:t>
      </w:r>
      <w:r w:rsidRPr="00843AD4">
        <w:rPr>
          <w:rFonts w:cs="Times New Roman"/>
          <w:i/>
          <w:sz w:val="24"/>
          <w:vertAlign w:val="superscript"/>
        </w:rPr>
        <w:t>®</w:t>
      </w:r>
      <w:r w:rsidRPr="00843AD4">
        <w:rPr>
          <w:rFonts w:cs="Times New Roman"/>
          <w:sz w:val="24"/>
        </w:rPr>
        <w:t>, versão 5.1, através da análise de variância (ANOVA), sendo que a comparação de médias foi realizada pelo teste de médias de Tukey, com nível de 5% de significância.</w:t>
      </w:r>
    </w:p>
    <w:p w:rsidR="00843AD4" w:rsidRDefault="00843AD4" w:rsidP="00843AD4">
      <w:pPr>
        <w:jc w:val="both"/>
      </w:pPr>
    </w:p>
    <w:p w:rsidR="00C94174" w:rsidRDefault="00C94174" w:rsidP="00843AD4">
      <w:pPr>
        <w:jc w:val="both"/>
      </w:pPr>
    </w:p>
    <w:p w:rsidR="00D96CF2" w:rsidRDefault="00D96CF2" w:rsidP="00D96CF2">
      <w:pPr>
        <w:spacing w:after="120"/>
        <w:jc w:val="both"/>
        <w:rPr>
          <w:b/>
          <w:bCs/>
        </w:rPr>
      </w:pPr>
      <w:r w:rsidRPr="00B67EDE">
        <w:rPr>
          <w:b/>
          <w:bCs/>
        </w:rPr>
        <w:t>RESULTADOS</w:t>
      </w:r>
      <w:r>
        <w:rPr>
          <w:b/>
          <w:bCs/>
        </w:rPr>
        <w:t xml:space="preserve"> E DISCUSSÃO</w:t>
      </w:r>
    </w:p>
    <w:p w:rsidR="00F37552" w:rsidRPr="00B67EDE" w:rsidRDefault="00F37552" w:rsidP="00D96CF2">
      <w:pPr>
        <w:spacing w:after="120"/>
        <w:jc w:val="both"/>
        <w:rPr>
          <w:b/>
          <w:bCs/>
        </w:rPr>
      </w:pPr>
    </w:p>
    <w:p w:rsidR="00F31971" w:rsidRDefault="00C94174" w:rsidP="00D96CF2">
      <w:pPr>
        <w:pStyle w:val="SemEspaamento1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4">
        <w:rPr>
          <w:rFonts w:ascii="Times New Roman" w:hAnsi="Times New Roman" w:cs="Times New Roman"/>
          <w:b/>
          <w:sz w:val="24"/>
          <w:szCs w:val="24"/>
        </w:rPr>
        <w:t>Análise sensorial</w:t>
      </w:r>
    </w:p>
    <w:p w:rsidR="00C94174" w:rsidRPr="00F31971" w:rsidRDefault="00C94174" w:rsidP="001E5B29">
      <w:pPr>
        <w:pStyle w:val="SemEspaamento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4">
        <w:rPr>
          <w:rFonts w:ascii="Times New Roman" w:hAnsi="Times New Roman" w:cs="Times New Roman"/>
          <w:sz w:val="24"/>
          <w:szCs w:val="24"/>
        </w:rPr>
        <w:t>Por meio da Tabela 2 pode-se verificar o resultado da a</w:t>
      </w:r>
      <w:r w:rsidR="00EE38FC">
        <w:rPr>
          <w:rFonts w:ascii="Times New Roman" w:hAnsi="Times New Roman" w:cs="Times New Roman"/>
          <w:sz w:val="24"/>
          <w:szCs w:val="24"/>
        </w:rPr>
        <w:t>nálise</w:t>
      </w:r>
      <w:r w:rsidRPr="00C94174">
        <w:rPr>
          <w:rFonts w:ascii="Times New Roman" w:hAnsi="Times New Roman" w:cs="Times New Roman"/>
          <w:sz w:val="24"/>
          <w:szCs w:val="24"/>
        </w:rPr>
        <w:t xml:space="preserve"> sensorial dos biscoitos padrão e acrescidos de </w:t>
      </w:r>
      <w:r w:rsidR="00EE38FC">
        <w:rPr>
          <w:rFonts w:ascii="Times New Roman" w:hAnsi="Times New Roman" w:cs="Times New Roman"/>
          <w:sz w:val="24"/>
          <w:szCs w:val="24"/>
        </w:rPr>
        <w:t>F</w:t>
      </w:r>
      <w:r w:rsidR="000679C3">
        <w:rPr>
          <w:rFonts w:ascii="Times New Roman" w:hAnsi="Times New Roman" w:cs="Times New Roman"/>
          <w:sz w:val="24"/>
          <w:szCs w:val="24"/>
        </w:rPr>
        <w:t>B</w:t>
      </w:r>
      <w:r w:rsidR="00EE38FC">
        <w:rPr>
          <w:rFonts w:ascii="Times New Roman" w:hAnsi="Times New Roman" w:cs="Times New Roman"/>
          <w:sz w:val="24"/>
          <w:szCs w:val="24"/>
        </w:rPr>
        <w:t>M</w:t>
      </w:r>
      <w:r w:rsidRPr="00C94174">
        <w:rPr>
          <w:rFonts w:ascii="Times New Roman" w:hAnsi="Times New Roman" w:cs="Times New Roman"/>
          <w:sz w:val="24"/>
          <w:szCs w:val="24"/>
        </w:rPr>
        <w:t>.</w:t>
      </w:r>
    </w:p>
    <w:p w:rsidR="00C94174" w:rsidRPr="00C94174" w:rsidRDefault="00C94174" w:rsidP="00C94174">
      <w:pPr>
        <w:jc w:val="both"/>
      </w:pPr>
    </w:p>
    <w:p w:rsidR="00C94174" w:rsidRPr="007E5151" w:rsidRDefault="00C94174" w:rsidP="007E5151">
      <w:pPr>
        <w:autoSpaceDE w:val="0"/>
        <w:jc w:val="center"/>
        <w:rPr>
          <w:b/>
          <w:color w:val="000000"/>
        </w:rPr>
      </w:pPr>
      <w:r w:rsidRPr="00F31971">
        <w:rPr>
          <w:b/>
          <w:color w:val="000000"/>
        </w:rPr>
        <w:t>Tabela 2</w:t>
      </w:r>
      <w:r w:rsidR="009761E9">
        <w:rPr>
          <w:b/>
          <w:color w:val="000000"/>
        </w:rPr>
        <w:t>.</w:t>
      </w:r>
      <w:r w:rsidR="007E5151">
        <w:rPr>
          <w:b/>
          <w:color w:val="000000"/>
        </w:rPr>
        <w:t xml:space="preserve"> </w:t>
      </w:r>
      <w:r w:rsidRPr="00F31971">
        <w:rPr>
          <w:b/>
        </w:rPr>
        <w:t xml:space="preserve">Médias do teste sensorial afetivo realizado para as formulações dos </w:t>
      </w:r>
      <w:r w:rsidRPr="00F31971">
        <w:rPr>
          <w:b/>
          <w:color w:val="000000"/>
        </w:rPr>
        <w:t>biscoitos padrão</w:t>
      </w:r>
      <w:r w:rsidR="009761E9">
        <w:rPr>
          <w:b/>
          <w:color w:val="000000"/>
        </w:rPr>
        <w:t xml:space="preserve"> (F1)</w:t>
      </w:r>
      <w:r w:rsidRPr="00F31971">
        <w:rPr>
          <w:b/>
          <w:color w:val="000000"/>
        </w:rPr>
        <w:t xml:space="preserve"> e adicionados de </w:t>
      </w:r>
      <w:r w:rsidRPr="00F31971">
        <w:rPr>
          <w:b/>
        </w:rPr>
        <w:t xml:space="preserve">8,5% </w:t>
      </w:r>
      <w:r w:rsidR="009761E9">
        <w:rPr>
          <w:b/>
        </w:rPr>
        <w:t xml:space="preserve">(F2) </w:t>
      </w:r>
      <w:r w:rsidRPr="00F31971">
        <w:rPr>
          <w:b/>
        </w:rPr>
        <w:t>e 14,2%</w:t>
      </w:r>
      <w:r w:rsidR="009761E9">
        <w:rPr>
          <w:b/>
        </w:rPr>
        <w:t xml:space="preserve"> (F3)</w:t>
      </w:r>
      <w:r w:rsidRPr="00F31971">
        <w:rPr>
          <w:b/>
        </w:rPr>
        <w:t xml:space="preserve"> </w:t>
      </w:r>
      <w:r w:rsidRPr="00F31971">
        <w:rPr>
          <w:b/>
          <w:color w:val="000000"/>
        </w:rPr>
        <w:t xml:space="preserve">de farinha de </w:t>
      </w:r>
      <w:r w:rsidR="00665233">
        <w:rPr>
          <w:b/>
          <w:color w:val="000000"/>
        </w:rPr>
        <w:t xml:space="preserve">bagaço de </w:t>
      </w:r>
      <w:r w:rsidRPr="00F31971">
        <w:rPr>
          <w:b/>
          <w:color w:val="000000"/>
        </w:rPr>
        <w:t>maçã (F</w:t>
      </w:r>
      <w:r w:rsidR="000679C3">
        <w:rPr>
          <w:b/>
          <w:color w:val="000000"/>
        </w:rPr>
        <w:t>B</w:t>
      </w:r>
      <w:r w:rsidRPr="00F31971">
        <w:rPr>
          <w:b/>
          <w:color w:val="000000"/>
        </w:rPr>
        <w:t>M)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2182"/>
        <w:gridCol w:w="1978"/>
        <w:gridCol w:w="1840"/>
      </w:tblGrid>
      <w:tr w:rsidR="00C94174" w:rsidRPr="00C94174" w:rsidTr="00711AE1">
        <w:tc>
          <w:tcPr>
            <w:tcW w:w="2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94174" w:rsidRPr="00C94174" w:rsidRDefault="00C94174" w:rsidP="00C94174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C94174">
              <w:rPr>
                <w:b/>
                <w:color w:val="000000"/>
              </w:rPr>
              <w:t xml:space="preserve">Formulações/ </w:t>
            </w:r>
          </w:p>
          <w:p w:rsidR="00C94174" w:rsidRPr="00C94174" w:rsidRDefault="00C94174" w:rsidP="00C94174">
            <w:pPr>
              <w:autoSpaceDE w:val="0"/>
              <w:jc w:val="both"/>
              <w:rPr>
                <w:b/>
                <w:color w:val="000000"/>
              </w:rPr>
            </w:pPr>
            <w:r w:rsidRPr="00C94174">
              <w:rPr>
                <w:b/>
                <w:color w:val="000000"/>
              </w:rPr>
              <w:t>Atributos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auto"/>
          </w:tcPr>
          <w:p w:rsidR="00C94174" w:rsidRPr="00EA685C" w:rsidRDefault="00C94174" w:rsidP="00F3197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EA685C">
              <w:rPr>
                <w:b/>
                <w:color w:val="000000"/>
              </w:rPr>
              <w:t>F1</w:t>
            </w:r>
          </w:p>
          <w:p w:rsidR="00C94174" w:rsidRPr="00EA685C" w:rsidRDefault="00C94174" w:rsidP="00F31971">
            <w:pPr>
              <w:autoSpaceDE w:val="0"/>
              <w:jc w:val="center"/>
              <w:rPr>
                <w:color w:val="000000"/>
                <w:highlight w:val="red"/>
              </w:rPr>
            </w:pPr>
            <w:r w:rsidRPr="00EA685C">
              <w:rPr>
                <w:color w:val="000000"/>
              </w:rPr>
              <w:t>Média±DP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shd w:val="clear" w:color="auto" w:fill="auto"/>
          </w:tcPr>
          <w:p w:rsidR="00C94174" w:rsidRPr="00EA685C" w:rsidRDefault="00C94174" w:rsidP="00F3197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EA685C">
              <w:rPr>
                <w:b/>
                <w:color w:val="000000"/>
              </w:rPr>
              <w:t>F2</w:t>
            </w:r>
          </w:p>
          <w:p w:rsidR="00C94174" w:rsidRPr="00EA685C" w:rsidRDefault="00C94174" w:rsidP="00F31971">
            <w:pPr>
              <w:autoSpaceDE w:val="0"/>
              <w:jc w:val="center"/>
              <w:rPr>
                <w:color w:val="000000"/>
                <w:highlight w:val="red"/>
              </w:rPr>
            </w:pPr>
            <w:r w:rsidRPr="00EA685C">
              <w:rPr>
                <w:color w:val="000000"/>
              </w:rPr>
              <w:t>Média±DP</w:t>
            </w:r>
          </w:p>
        </w:tc>
        <w:tc>
          <w:tcPr>
            <w:tcW w:w="1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4174" w:rsidRPr="00EA685C" w:rsidRDefault="00C94174" w:rsidP="00F3197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EA685C">
              <w:rPr>
                <w:b/>
                <w:color w:val="000000"/>
              </w:rPr>
              <w:t>F3</w:t>
            </w:r>
          </w:p>
          <w:p w:rsidR="00C94174" w:rsidRPr="00EA685C" w:rsidRDefault="00C94174" w:rsidP="00F31971">
            <w:pPr>
              <w:autoSpaceDE w:val="0"/>
              <w:jc w:val="center"/>
              <w:rPr>
                <w:color w:val="000000"/>
                <w:highlight w:val="red"/>
              </w:rPr>
            </w:pPr>
            <w:r w:rsidRPr="00EA685C">
              <w:rPr>
                <w:color w:val="000000"/>
              </w:rPr>
              <w:t>Média±DP</w:t>
            </w:r>
          </w:p>
        </w:tc>
      </w:tr>
      <w:tr w:rsidR="00C94174" w:rsidRPr="00C94174" w:rsidTr="00711AE1">
        <w:tc>
          <w:tcPr>
            <w:tcW w:w="2548" w:type="dxa"/>
            <w:tcBorders>
              <w:left w:val="single" w:sz="12" w:space="0" w:color="auto"/>
            </w:tcBorders>
            <w:shd w:val="clear" w:color="auto" w:fill="auto"/>
          </w:tcPr>
          <w:p w:rsidR="00C94174" w:rsidRPr="00C94174" w:rsidRDefault="00C94174" w:rsidP="00C94174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C94174">
              <w:rPr>
                <w:bCs/>
                <w:color w:val="000000"/>
              </w:rPr>
              <w:t>Aparência</w:t>
            </w:r>
          </w:p>
        </w:tc>
        <w:tc>
          <w:tcPr>
            <w:tcW w:w="2182" w:type="dxa"/>
            <w:shd w:val="clear" w:color="auto" w:fill="auto"/>
          </w:tcPr>
          <w:p w:rsidR="00C94174" w:rsidRPr="009761E9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</w:rPr>
            </w:pPr>
            <w:r w:rsidRPr="00C94174">
              <w:rPr>
                <w:color w:val="000000"/>
              </w:rPr>
              <w:t>7,14±1,10</w:t>
            </w:r>
            <w:r w:rsidRPr="009761E9">
              <w:rPr>
                <w:color w:val="000000"/>
                <w:vertAlign w:val="superscript"/>
              </w:rPr>
              <w:t>a</w:t>
            </w:r>
          </w:p>
        </w:tc>
        <w:tc>
          <w:tcPr>
            <w:tcW w:w="1978" w:type="dxa"/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</w:rPr>
            </w:pPr>
            <w:r w:rsidRPr="00C94174">
              <w:rPr>
                <w:color w:val="000000"/>
              </w:rPr>
              <w:t>7,14±1,29</w:t>
            </w:r>
            <w:r w:rsidRPr="00C94174">
              <w:rPr>
                <w:color w:val="000000"/>
                <w:vertAlign w:val="superscript"/>
              </w:rPr>
              <w:t>a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</w:rPr>
            </w:pPr>
            <w:r w:rsidRPr="00C94174">
              <w:rPr>
                <w:color w:val="000000"/>
              </w:rPr>
              <w:t>6,67±1,40</w:t>
            </w:r>
            <w:r w:rsidRPr="00C94174">
              <w:rPr>
                <w:color w:val="000000"/>
                <w:vertAlign w:val="superscript"/>
              </w:rPr>
              <w:t>a</w:t>
            </w:r>
          </w:p>
        </w:tc>
      </w:tr>
      <w:tr w:rsidR="00C94174" w:rsidRPr="00C94174" w:rsidTr="00711AE1">
        <w:tc>
          <w:tcPr>
            <w:tcW w:w="2548" w:type="dxa"/>
            <w:tcBorders>
              <w:left w:val="single" w:sz="12" w:space="0" w:color="auto"/>
            </w:tcBorders>
            <w:shd w:val="clear" w:color="auto" w:fill="auto"/>
          </w:tcPr>
          <w:p w:rsidR="00C94174" w:rsidRPr="00C94174" w:rsidRDefault="00C94174" w:rsidP="00C94174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C94174">
              <w:rPr>
                <w:bCs/>
                <w:color w:val="000000"/>
              </w:rPr>
              <w:t>Aroma</w:t>
            </w:r>
          </w:p>
        </w:tc>
        <w:tc>
          <w:tcPr>
            <w:tcW w:w="2182" w:type="dxa"/>
            <w:shd w:val="clear" w:color="auto" w:fill="auto"/>
          </w:tcPr>
          <w:p w:rsidR="00C94174" w:rsidRPr="009761E9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</w:rPr>
            </w:pPr>
            <w:r w:rsidRPr="00C94174">
              <w:rPr>
                <w:color w:val="000000"/>
              </w:rPr>
              <w:t>6,69±1,52</w:t>
            </w:r>
            <w:r w:rsidRPr="009761E9">
              <w:rPr>
                <w:color w:val="000000"/>
                <w:vertAlign w:val="superscript"/>
              </w:rPr>
              <w:t>a</w:t>
            </w:r>
          </w:p>
        </w:tc>
        <w:tc>
          <w:tcPr>
            <w:tcW w:w="1978" w:type="dxa"/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  <w:lang w:val="en-US"/>
              </w:rPr>
            </w:pPr>
            <w:r w:rsidRPr="00C94174">
              <w:rPr>
                <w:color w:val="000000"/>
              </w:rPr>
              <w:t>7,14±1,21</w:t>
            </w:r>
            <w:r w:rsidRPr="00C94174"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  <w:lang w:val="en-US"/>
              </w:rPr>
            </w:pPr>
            <w:r w:rsidRPr="00C94174">
              <w:rPr>
                <w:color w:val="000000"/>
              </w:rPr>
              <w:t>6,73±1,63</w:t>
            </w:r>
            <w:r w:rsidRPr="00C94174">
              <w:rPr>
                <w:color w:val="000000"/>
                <w:vertAlign w:val="superscript"/>
                <w:lang w:val="en-US"/>
              </w:rPr>
              <w:t>a</w:t>
            </w:r>
          </w:p>
        </w:tc>
      </w:tr>
      <w:tr w:rsidR="00C94174" w:rsidRPr="00C94174" w:rsidTr="00711AE1">
        <w:tc>
          <w:tcPr>
            <w:tcW w:w="2548" w:type="dxa"/>
            <w:tcBorders>
              <w:left w:val="single" w:sz="12" w:space="0" w:color="auto"/>
            </w:tcBorders>
            <w:shd w:val="clear" w:color="auto" w:fill="auto"/>
          </w:tcPr>
          <w:p w:rsidR="00C94174" w:rsidRPr="00C94174" w:rsidRDefault="00C94174" w:rsidP="00C94174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C94174">
              <w:rPr>
                <w:bCs/>
                <w:color w:val="000000"/>
              </w:rPr>
              <w:t>Sabor</w:t>
            </w:r>
          </w:p>
        </w:tc>
        <w:tc>
          <w:tcPr>
            <w:tcW w:w="2182" w:type="dxa"/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  <w:lang w:val="en-US"/>
              </w:rPr>
            </w:pPr>
            <w:r w:rsidRPr="00C94174">
              <w:rPr>
                <w:color w:val="000000"/>
              </w:rPr>
              <w:t>7,24±1,38</w:t>
            </w:r>
            <w:r w:rsidRPr="00C94174"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978" w:type="dxa"/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  <w:lang w:val="en-US"/>
              </w:rPr>
            </w:pPr>
            <w:r w:rsidRPr="00C94174">
              <w:rPr>
                <w:color w:val="000000"/>
              </w:rPr>
              <w:t>7,63±1,18</w:t>
            </w:r>
            <w:r w:rsidRPr="00C94174"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  <w:lang w:val="en-US"/>
              </w:rPr>
            </w:pPr>
            <w:r w:rsidRPr="00C94174">
              <w:rPr>
                <w:color w:val="000000"/>
              </w:rPr>
              <w:t>6,98±1,57</w:t>
            </w:r>
            <w:r w:rsidRPr="00C94174">
              <w:rPr>
                <w:color w:val="000000"/>
                <w:vertAlign w:val="superscript"/>
                <w:lang w:val="en-US"/>
              </w:rPr>
              <w:t>a</w:t>
            </w:r>
          </w:p>
        </w:tc>
      </w:tr>
      <w:tr w:rsidR="00C94174" w:rsidRPr="00C94174" w:rsidTr="00711AE1">
        <w:tc>
          <w:tcPr>
            <w:tcW w:w="2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4174" w:rsidRPr="00C94174" w:rsidRDefault="00C94174" w:rsidP="00C94174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C94174">
              <w:rPr>
                <w:bCs/>
                <w:color w:val="000000"/>
              </w:rPr>
              <w:t>Cor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  <w:lang w:val="en-US"/>
              </w:rPr>
            </w:pPr>
            <w:r w:rsidRPr="00C94174">
              <w:rPr>
                <w:color w:val="000000"/>
              </w:rPr>
              <w:t>7,16±1,31</w:t>
            </w:r>
            <w:r w:rsidRPr="00C94174"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  <w:lang w:val="en-US"/>
              </w:rPr>
            </w:pPr>
            <w:r w:rsidRPr="00C94174">
              <w:rPr>
                <w:color w:val="000000"/>
              </w:rPr>
              <w:t>7,02±1,39</w:t>
            </w:r>
            <w:r w:rsidRPr="00C94174"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4174" w:rsidRPr="00C94174" w:rsidRDefault="00C94174" w:rsidP="00F31971">
            <w:pPr>
              <w:autoSpaceDE w:val="0"/>
              <w:snapToGrid w:val="0"/>
              <w:jc w:val="center"/>
              <w:rPr>
                <w:color w:val="000000"/>
                <w:vertAlign w:val="superscript"/>
                <w:lang w:val="en-US"/>
              </w:rPr>
            </w:pPr>
            <w:r w:rsidRPr="00C94174">
              <w:rPr>
                <w:color w:val="000000"/>
              </w:rPr>
              <w:t>6,59±1,38</w:t>
            </w:r>
            <w:r w:rsidRPr="00C94174">
              <w:rPr>
                <w:color w:val="000000"/>
                <w:vertAlign w:val="superscript"/>
                <w:lang w:val="en-US"/>
              </w:rPr>
              <w:t>a</w:t>
            </w:r>
          </w:p>
        </w:tc>
      </w:tr>
    </w:tbl>
    <w:p w:rsidR="007E5151" w:rsidRDefault="00C94174" w:rsidP="0043601C">
      <w:pPr>
        <w:ind w:right="282"/>
        <w:jc w:val="both"/>
        <w:rPr>
          <w:color w:val="000000"/>
          <w:sz w:val="20"/>
          <w:szCs w:val="20"/>
        </w:rPr>
      </w:pPr>
      <w:r w:rsidRPr="00F31971">
        <w:rPr>
          <w:color w:val="000000"/>
          <w:sz w:val="20"/>
          <w:szCs w:val="20"/>
        </w:rPr>
        <w:t xml:space="preserve">Letras diferentes na linha indicam diferença significativa pelo teste de Tukey (p&lt;0,05); </w:t>
      </w:r>
      <w:r w:rsidRPr="00EA685C">
        <w:rPr>
          <w:color w:val="000000"/>
          <w:sz w:val="20"/>
          <w:szCs w:val="20"/>
        </w:rPr>
        <w:t>DP:</w:t>
      </w:r>
      <w:r w:rsidRPr="00F31971">
        <w:rPr>
          <w:color w:val="000000"/>
          <w:sz w:val="20"/>
          <w:szCs w:val="20"/>
        </w:rPr>
        <w:t xml:space="preserve"> Desvio padrão </w:t>
      </w:r>
      <w:r w:rsidRPr="00F31971">
        <w:rPr>
          <w:sz w:val="20"/>
          <w:szCs w:val="20"/>
        </w:rPr>
        <w:t>da média</w:t>
      </w:r>
      <w:r w:rsidR="009761E9">
        <w:rPr>
          <w:sz w:val="20"/>
          <w:szCs w:val="20"/>
        </w:rPr>
        <w:t>.</w:t>
      </w:r>
    </w:p>
    <w:p w:rsidR="00B0412A" w:rsidRDefault="00B0412A" w:rsidP="00B0412A">
      <w:pPr>
        <w:autoSpaceDE w:val="0"/>
        <w:ind w:firstLine="709"/>
        <w:jc w:val="both"/>
        <w:rPr>
          <w:color w:val="000000"/>
        </w:rPr>
      </w:pPr>
    </w:p>
    <w:p w:rsidR="00B0412A" w:rsidRDefault="00B0412A" w:rsidP="00C657BB">
      <w:pPr>
        <w:autoSpaceDE w:val="0"/>
        <w:jc w:val="both"/>
      </w:pPr>
      <w:r w:rsidRPr="002F1D45">
        <w:rPr>
          <w:color w:val="000000"/>
        </w:rPr>
        <w:t xml:space="preserve">Não houve </w:t>
      </w:r>
      <w:r w:rsidR="00EE38FC">
        <w:t>diferença significativa</w:t>
      </w:r>
      <w:r w:rsidRPr="002F1D45">
        <w:t xml:space="preserve"> entre as amostras (p&gt;</w:t>
      </w:r>
      <w:r w:rsidR="00EE38FC">
        <w:t>0,05)</w:t>
      </w:r>
      <w:r w:rsidRPr="002F1D45">
        <w:t xml:space="preserve"> para todos os atributos avaliados, corroborando com estudos de Protzek et al. (1998</w:t>
      </w:r>
      <w:r w:rsidR="00833673">
        <w:t>a</w:t>
      </w:r>
      <w:r w:rsidRPr="002F1D45">
        <w:t xml:space="preserve">), </w:t>
      </w:r>
      <w:r w:rsidR="00EE38FC">
        <w:t xml:space="preserve">que </w:t>
      </w:r>
      <w:r w:rsidRPr="002F1D45">
        <w:t>avalia</w:t>
      </w:r>
      <w:r w:rsidR="00EE38FC">
        <w:t>ram</w:t>
      </w:r>
      <w:r w:rsidRPr="002F1D45">
        <w:t xml:space="preserve"> biscoitos adicionados de </w:t>
      </w:r>
      <w:r w:rsidR="00665233">
        <w:t>FBM</w:t>
      </w:r>
      <w:r w:rsidR="00116FC3">
        <w:t xml:space="preserve"> nas porcentagens de 20, 30, 4</w:t>
      </w:r>
      <w:r w:rsidRPr="002F1D45">
        <w:t xml:space="preserve">0 e 50%. </w:t>
      </w:r>
      <w:r w:rsidR="00833673">
        <w:t>Em outro estudo P</w:t>
      </w:r>
      <w:r w:rsidR="00543103">
        <w:t xml:space="preserve">rotzek </w:t>
      </w:r>
      <w:r w:rsidR="00833673">
        <w:t>et al. (1998b), a FBM foi utilizada como ingrediente em pães, obtendo melhor aceitação</w:t>
      </w:r>
      <w:r w:rsidR="00C657BB">
        <w:t xml:space="preserve"> </w:t>
      </w:r>
      <w:r w:rsidR="00833673">
        <w:t xml:space="preserve">nos produtos elaborados com níveis de 5 e 10%. </w:t>
      </w:r>
    </w:p>
    <w:p w:rsidR="00B60DFF" w:rsidRPr="002F1D45" w:rsidRDefault="00B60DFF" w:rsidP="00B0412A">
      <w:pPr>
        <w:autoSpaceDE w:val="0"/>
        <w:jc w:val="both"/>
      </w:pPr>
    </w:p>
    <w:p w:rsidR="00B0412A" w:rsidRDefault="00B0412A" w:rsidP="00B0412A">
      <w:pPr>
        <w:autoSpaceDE w:val="0"/>
        <w:jc w:val="both"/>
      </w:pPr>
      <w:r w:rsidRPr="00E57FB8">
        <w:t>Ressalta-se que</w:t>
      </w:r>
      <w:r w:rsidR="00BB3D01" w:rsidRPr="00E57FB8">
        <w:t>,</w:t>
      </w:r>
      <w:r w:rsidRPr="00E57FB8">
        <w:t xml:space="preserve"> apesar dos provadores não terem percebido diferença significativa entre a</w:t>
      </w:r>
      <w:r w:rsidRPr="002F1D45">
        <w:t xml:space="preserve"> cor dos biscoitos, foi observado um escurecimento das formulações, conforme se adicionou a </w:t>
      </w:r>
      <w:r w:rsidR="00E57FB8">
        <w:t>F</w:t>
      </w:r>
      <w:r w:rsidR="000679C3">
        <w:t>B</w:t>
      </w:r>
      <w:r w:rsidR="00E57FB8">
        <w:t>M</w:t>
      </w:r>
      <w:r w:rsidRPr="002F1D45">
        <w:t xml:space="preserve">. Estes resultados corroboram com avaliações de Kohajdová et al. (2011), que estudaram a adição de fibras de maçã (5, 10 e 15%) em biscoitos. Segundo Garau et al. (2007), este fato pode ter ocorrido, pois o bagaço de maçã passa por escurecimento enzimático das pectinas, conferindo um tom marrom aos produtos. </w:t>
      </w:r>
    </w:p>
    <w:p w:rsidR="00B0412A" w:rsidRPr="002F1D45" w:rsidRDefault="00B0412A" w:rsidP="00B0412A">
      <w:pPr>
        <w:autoSpaceDE w:val="0"/>
        <w:jc w:val="both"/>
      </w:pPr>
    </w:p>
    <w:p w:rsidR="00B0412A" w:rsidRPr="002F1D45" w:rsidRDefault="00B0412A" w:rsidP="00B0412A">
      <w:pPr>
        <w:pStyle w:val="NormalWeb"/>
        <w:spacing w:before="0" w:after="0"/>
        <w:jc w:val="both"/>
        <w:rPr>
          <w:rFonts w:cs="Times New Roman"/>
          <w:sz w:val="24"/>
          <w:szCs w:val="24"/>
        </w:rPr>
      </w:pPr>
      <w:r w:rsidRPr="002F1D45">
        <w:rPr>
          <w:rFonts w:cs="Times New Roman"/>
          <w:sz w:val="24"/>
          <w:szCs w:val="24"/>
        </w:rPr>
        <w:t>Na Figura 1 pode-se observar as frequências das notas atribuídas pelos provadores para cada atributo sensorial.</w:t>
      </w:r>
    </w:p>
    <w:p w:rsidR="00C94174" w:rsidRPr="008E09D0" w:rsidRDefault="00C94174" w:rsidP="007E5151">
      <w:pPr>
        <w:jc w:val="both"/>
      </w:pPr>
    </w:p>
    <w:p w:rsidR="00C94174" w:rsidRPr="00C94174" w:rsidRDefault="007014E5" w:rsidP="00B0412A">
      <w:pPr>
        <w:tabs>
          <w:tab w:val="left" w:pos="1276"/>
          <w:tab w:val="left" w:pos="3828"/>
          <w:tab w:val="left" w:pos="4111"/>
          <w:tab w:val="left" w:pos="4253"/>
          <w:tab w:val="left" w:pos="5245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565400" cy="1454150"/>
            <wp:effectExtent l="0" t="0" r="0" b="0"/>
            <wp:docPr id="1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305050" cy="1454150"/>
            <wp:effectExtent l="0" t="0" r="0" b="0"/>
            <wp:docPr id="2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4174" w:rsidRPr="00C94174" w:rsidRDefault="007014E5" w:rsidP="00B0412A">
      <w:pPr>
        <w:tabs>
          <w:tab w:val="left" w:pos="709"/>
          <w:tab w:val="left" w:pos="851"/>
          <w:tab w:val="left" w:pos="1134"/>
          <w:tab w:val="left" w:pos="3402"/>
          <w:tab w:val="left" w:pos="3828"/>
          <w:tab w:val="left" w:pos="4111"/>
          <w:tab w:val="left" w:pos="4678"/>
          <w:tab w:val="left" w:pos="5103"/>
          <w:tab w:val="left" w:pos="5245"/>
          <w:tab w:val="left" w:pos="5387"/>
          <w:tab w:val="left" w:pos="7230"/>
          <w:tab w:val="left" w:pos="7513"/>
          <w:tab w:val="left" w:pos="7797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463800" cy="1498600"/>
            <wp:effectExtent l="0" t="0" r="0" b="0"/>
            <wp:docPr id="3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546350" cy="1549400"/>
            <wp:effectExtent l="0" t="0" r="0" b="0"/>
            <wp:docPr id="4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4174" w:rsidRPr="00C94174" w:rsidRDefault="00C94174" w:rsidP="00C94174">
      <w:pPr>
        <w:jc w:val="both"/>
        <w:rPr>
          <w:b/>
          <w:noProof/>
        </w:rPr>
      </w:pPr>
    </w:p>
    <w:p w:rsidR="009B1B6D" w:rsidRDefault="00C94174" w:rsidP="009B1B6D">
      <w:pPr>
        <w:tabs>
          <w:tab w:val="left" w:pos="3828"/>
          <w:tab w:val="left" w:pos="4253"/>
          <w:tab w:val="left" w:pos="4820"/>
          <w:tab w:val="left" w:pos="5103"/>
        </w:tabs>
        <w:jc w:val="center"/>
        <w:rPr>
          <w:b/>
          <w:bCs/>
        </w:rPr>
      </w:pPr>
      <w:r w:rsidRPr="007E5151">
        <w:rPr>
          <w:b/>
          <w:noProof/>
        </w:rPr>
        <w:t>Figura 1</w:t>
      </w:r>
      <w:r w:rsidR="0043601C">
        <w:rPr>
          <w:b/>
          <w:noProof/>
        </w:rPr>
        <w:t>.</w:t>
      </w:r>
      <w:r w:rsidRPr="007E5151">
        <w:rPr>
          <w:b/>
          <w:noProof/>
        </w:rPr>
        <w:t xml:space="preserve"> Distribuição dos provadores pelos valores hedônicos obtidos na avaliação dos atributos aparência, aroma, sabor e cor </w:t>
      </w:r>
      <w:r w:rsidR="00176762">
        <w:rPr>
          <w:b/>
        </w:rPr>
        <w:t xml:space="preserve">das formulações </w:t>
      </w:r>
      <w:r w:rsidRPr="007E5151">
        <w:rPr>
          <w:b/>
        </w:rPr>
        <w:t xml:space="preserve">padrão (F1) e adicionadas de 8,5% (F2) e 14,2% (F3) de farinha de </w:t>
      </w:r>
      <w:r w:rsidR="00665233">
        <w:rPr>
          <w:b/>
        </w:rPr>
        <w:t xml:space="preserve">bagaço de </w:t>
      </w:r>
      <w:r w:rsidRPr="007E5151">
        <w:rPr>
          <w:b/>
        </w:rPr>
        <w:t>maçã.</w:t>
      </w:r>
    </w:p>
    <w:p w:rsidR="009B1B6D" w:rsidRDefault="009B1B6D" w:rsidP="009B1B6D">
      <w:pPr>
        <w:tabs>
          <w:tab w:val="left" w:pos="3828"/>
          <w:tab w:val="left" w:pos="4253"/>
          <w:tab w:val="left" w:pos="4820"/>
          <w:tab w:val="left" w:pos="5103"/>
        </w:tabs>
        <w:jc w:val="center"/>
        <w:rPr>
          <w:b/>
          <w:bCs/>
        </w:rPr>
      </w:pPr>
    </w:p>
    <w:p w:rsidR="007B7B89" w:rsidRDefault="007B7B89" w:rsidP="007B7B89">
      <w:pPr>
        <w:autoSpaceDE w:val="0"/>
        <w:autoSpaceDN w:val="0"/>
        <w:adjustRightInd w:val="0"/>
        <w:jc w:val="both"/>
      </w:pPr>
      <w:r w:rsidRPr="002F1D45">
        <w:t xml:space="preserve">Por meio da Figura 1 observa-se que a maior </w:t>
      </w:r>
      <w:r w:rsidR="00A349AE">
        <w:t>porcentagem de</w:t>
      </w:r>
      <w:r w:rsidRPr="002F1D45">
        <w:t xml:space="preserve"> notas conferidas pelos provadores encontram-se acima de 6 (“gostei ligeiramente”), o que demonstra que as formulações foram, em geral, bem aceitas pelos provadores. Entretanto, conforme se adicionou </w:t>
      </w:r>
      <w:r w:rsidR="00A349AE">
        <w:t>F</w:t>
      </w:r>
      <w:r w:rsidR="000679C3">
        <w:t>B</w:t>
      </w:r>
      <w:r w:rsidR="00A349AE">
        <w:t>M</w:t>
      </w:r>
      <w:r w:rsidRPr="002F1D45">
        <w:t xml:space="preserve"> aos produtos as notas reduziram em todos os atributos, </w:t>
      </w:r>
      <w:r w:rsidRPr="007B7B89">
        <w:t>corroborando com Matias et al. (2005), ao avaliar</w:t>
      </w:r>
      <w:r w:rsidR="00A349AE">
        <w:t>em</w:t>
      </w:r>
      <w:r w:rsidRPr="007B7B89">
        <w:t xml:space="preserve"> o uso de bagaço de caju e goiaba (0, 5, 10 e 15%) no enriquecimento de biscoitos.</w:t>
      </w:r>
    </w:p>
    <w:p w:rsidR="007B7B89" w:rsidRPr="002F1D45" w:rsidRDefault="007B7B89" w:rsidP="007B7B89">
      <w:pPr>
        <w:autoSpaceDE w:val="0"/>
        <w:autoSpaceDN w:val="0"/>
        <w:adjustRightInd w:val="0"/>
        <w:jc w:val="both"/>
      </w:pPr>
    </w:p>
    <w:p w:rsidR="007B7B89" w:rsidRPr="002F1D45" w:rsidRDefault="007B7B89" w:rsidP="007B7B89">
      <w:pPr>
        <w:pStyle w:val="SemEspaamento2"/>
        <w:jc w:val="both"/>
        <w:rPr>
          <w:rFonts w:ascii="Times New Roman" w:hAnsi="Times New Roman"/>
          <w:color w:val="000000"/>
          <w:sz w:val="24"/>
          <w:szCs w:val="24"/>
        </w:rPr>
      </w:pPr>
      <w:r w:rsidRPr="002F1D45">
        <w:rPr>
          <w:rFonts w:ascii="Times New Roman" w:hAnsi="Times New Roman"/>
          <w:color w:val="000000"/>
          <w:sz w:val="24"/>
          <w:szCs w:val="24"/>
        </w:rPr>
        <w:t xml:space="preserve">Na Figura 2 verifica-se o IA das formulações de </w:t>
      </w:r>
      <w:r w:rsidRPr="002F1D45">
        <w:rPr>
          <w:rFonts w:ascii="Times New Roman" w:hAnsi="Times New Roman"/>
          <w:sz w:val="24"/>
          <w:szCs w:val="24"/>
        </w:rPr>
        <w:t>biscoito padrão (F1) e adicionadas</w:t>
      </w:r>
      <w:r w:rsidRPr="002F1D45">
        <w:rPr>
          <w:rFonts w:ascii="Times New Roman" w:hAnsi="Times New Roman"/>
          <w:color w:val="000000"/>
          <w:sz w:val="24"/>
          <w:szCs w:val="24"/>
        </w:rPr>
        <w:t xml:space="preserve"> de F</w:t>
      </w:r>
      <w:r w:rsidR="000679C3">
        <w:rPr>
          <w:rFonts w:ascii="Times New Roman" w:hAnsi="Times New Roman"/>
          <w:color w:val="000000"/>
          <w:sz w:val="24"/>
          <w:szCs w:val="24"/>
        </w:rPr>
        <w:t>B</w:t>
      </w:r>
      <w:r w:rsidRPr="002F1D45">
        <w:rPr>
          <w:rFonts w:ascii="Times New Roman" w:hAnsi="Times New Roman"/>
          <w:color w:val="000000"/>
          <w:sz w:val="24"/>
          <w:szCs w:val="24"/>
        </w:rPr>
        <w:t>M em relação aos atributos aparência, aroma, cor e sabor.</w:t>
      </w:r>
    </w:p>
    <w:p w:rsidR="00C94174" w:rsidRPr="00C94174" w:rsidRDefault="00C94174" w:rsidP="00C94174">
      <w:pPr>
        <w:jc w:val="both"/>
        <w:rPr>
          <w:b/>
          <w:noProof/>
        </w:rPr>
      </w:pPr>
    </w:p>
    <w:p w:rsidR="00C94174" w:rsidRPr="00C94174" w:rsidRDefault="007014E5" w:rsidP="00F31971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247902" cy="1882239"/>
            <wp:effectExtent l="0" t="0" r="0" b="0"/>
            <wp:docPr id="5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4174" w:rsidRPr="00C94174" w:rsidRDefault="00C94174" w:rsidP="00C94174">
      <w:pPr>
        <w:jc w:val="both"/>
        <w:rPr>
          <w:b/>
          <w:noProof/>
        </w:rPr>
      </w:pPr>
    </w:p>
    <w:p w:rsidR="000E7CD3" w:rsidRDefault="00C94174" w:rsidP="000E7CD3">
      <w:pPr>
        <w:jc w:val="center"/>
        <w:rPr>
          <w:b/>
          <w:color w:val="000000"/>
        </w:rPr>
      </w:pPr>
      <w:r w:rsidRPr="002C4B7A">
        <w:rPr>
          <w:b/>
          <w:noProof/>
        </w:rPr>
        <w:t>Figura 2</w:t>
      </w:r>
      <w:r w:rsidR="00663F5C">
        <w:rPr>
          <w:b/>
          <w:noProof/>
        </w:rPr>
        <w:t>.</w:t>
      </w:r>
      <w:r w:rsidR="002C4B7A" w:rsidRPr="002C4B7A">
        <w:rPr>
          <w:b/>
          <w:noProof/>
        </w:rPr>
        <w:t xml:space="preserve"> </w:t>
      </w:r>
      <w:r w:rsidRPr="002C4B7A">
        <w:rPr>
          <w:b/>
          <w:color w:val="000000"/>
        </w:rPr>
        <w:t xml:space="preserve">Índice de aceitabilidade das </w:t>
      </w:r>
      <w:r w:rsidRPr="002C4B7A">
        <w:rPr>
          <w:b/>
        </w:rPr>
        <w:t xml:space="preserve">formulações de biscoito padrão (F1) e adicionadas de 8,5% (F2) e 14,2% (F3) de farinha de </w:t>
      </w:r>
      <w:r w:rsidR="00665233">
        <w:rPr>
          <w:b/>
        </w:rPr>
        <w:t xml:space="preserve">bagaço de </w:t>
      </w:r>
      <w:r w:rsidRPr="002C4B7A">
        <w:rPr>
          <w:b/>
        </w:rPr>
        <w:t>maçã</w:t>
      </w:r>
      <w:r w:rsidRPr="002C4B7A">
        <w:rPr>
          <w:b/>
          <w:color w:val="000000"/>
        </w:rPr>
        <w:t>, em relação aos atributos avaliados.</w:t>
      </w:r>
    </w:p>
    <w:p w:rsidR="000E7CD3" w:rsidRDefault="000E7CD3" w:rsidP="000E7CD3">
      <w:pPr>
        <w:jc w:val="center"/>
        <w:rPr>
          <w:b/>
          <w:color w:val="000000"/>
        </w:rPr>
      </w:pPr>
    </w:p>
    <w:p w:rsidR="00117EE0" w:rsidRPr="002F1D45" w:rsidRDefault="00117EE0" w:rsidP="00117EE0">
      <w:pPr>
        <w:pStyle w:val="SemEspaamento2"/>
        <w:jc w:val="both"/>
        <w:rPr>
          <w:rFonts w:ascii="Times New Roman" w:hAnsi="Times New Roman"/>
          <w:sz w:val="24"/>
          <w:szCs w:val="24"/>
        </w:rPr>
      </w:pPr>
      <w:r w:rsidRPr="002F1D45">
        <w:rPr>
          <w:rFonts w:ascii="Times New Roman" w:hAnsi="Times New Roman"/>
          <w:sz w:val="24"/>
          <w:szCs w:val="24"/>
        </w:rPr>
        <w:lastRenderedPageBreak/>
        <w:t>Todas as formulações apresentaram IA acima de 70%, o qual considera os produtos com boa aceitação sensorial,</w:t>
      </w:r>
      <w:r w:rsidRPr="002F1D45">
        <w:rPr>
          <w:rFonts w:ascii="Times New Roman" w:hAnsi="Times New Roman"/>
          <w:bCs/>
          <w:sz w:val="24"/>
          <w:szCs w:val="24"/>
        </w:rPr>
        <w:t xml:space="preserve"> segundo explica </w:t>
      </w:r>
      <w:r w:rsidRPr="002F1D45">
        <w:rPr>
          <w:rFonts w:ascii="Times New Roman" w:hAnsi="Times New Roman"/>
          <w:sz w:val="24"/>
          <w:szCs w:val="24"/>
        </w:rPr>
        <w:t>Dutcoski (2011), corroborando com os resultados verificados na Tabela 2. Dados semelhantes foram relatados por Borges et al. (2006</w:t>
      </w:r>
      <w:r w:rsidRPr="00117EE0">
        <w:rPr>
          <w:rFonts w:ascii="Times New Roman" w:hAnsi="Times New Roman"/>
          <w:sz w:val="24"/>
          <w:szCs w:val="24"/>
        </w:rPr>
        <w:t>) que avaliaram biscoitos elaborados com farinha de semente de jaca e semente de abóbora (30%), obtendo 90% de aceitação dos</w:t>
      </w:r>
      <w:r w:rsidRPr="002F1D45">
        <w:rPr>
          <w:rFonts w:ascii="Times New Roman" w:hAnsi="Times New Roman"/>
          <w:sz w:val="24"/>
          <w:szCs w:val="24"/>
        </w:rPr>
        <w:t xml:space="preserve"> consumidores. </w:t>
      </w:r>
    </w:p>
    <w:p w:rsidR="00C94174" w:rsidRPr="00C94174" w:rsidRDefault="00C94174" w:rsidP="00C94174">
      <w:pPr>
        <w:pStyle w:val="WW-Corpodetexto3"/>
        <w:tabs>
          <w:tab w:val="left" w:pos="709"/>
        </w:tabs>
        <w:spacing w:line="240" w:lineRule="auto"/>
        <w:rPr>
          <w:rFonts w:cs="Times New Roman"/>
          <w:b/>
          <w:sz w:val="24"/>
          <w:szCs w:val="24"/>
        </w:rPr>
      </w:pPr>
    </w:p>
    <w:p w:rsidR="000E7CD3" w:rsidRDefault="00C94174" w:rsidP="00793789">
      <w:pPr>
        <w:pStyle w:val="WW-Corpodetexto3"/>
        <w:tabs>
          <w:tab w:val="left" w:pos="709"/>
        </w:tabs>
        <w:spacing w:after="240" w:line="240" w:lineRule="auto"/>
        <w:rPr>
          <w:rFonts w:cs="Times New Roman"/>
          <w:b/>
          <w:sz w:val="24"/>
          <w:szCs w:val="24"/>
          <w:lang w:eastAsia="pt-BR"/>
        </w:rPr>
      </w:pPr>
      <w:r w:rsidRPr="00C94174">
        <w:rPr>
          <w:rFonts w:cs="Times New Roman"/>
          <w:b/>
          <w:sz w:val="24"/>
          <w:szCs w:val="24"/>
          <w:lang w:eastAsia="pt-BR"/>
        </w:rPr>
        <w:t>Análise teórica da composição química</w:t>
      </w:r>
    </w:p>
    <w:p w:rsidR="00C94174" w:rsidRPr="000E7CD3" w:rsidRDefault="00C94174" w:rsidP="00793789">
      <w:pPr>
        <w:pStyle w:val="WW-Corpodetexto3"/>
        <w:tabs>
          <w:tab w:val="left" w:pos="709"/>
        </w:tabs>
        <w:spacing w:line="240" w:lineRule="auto"/>
        <w:rPr>
          <w:rFonts w:cs="Times New Roman"/>
          <w:b/>
          <w:sz w:val="24"/>
          <w:szCs w:val="24"/>
          <w:lang w:eastAsia="pt-BR"/>
        </w:rPr>
      </w:pPr>
      <w:r w:rsidRPr="00C94174">
        <w:rPr>
          <w:rFonts w:cs="Times New Roman"/>
          <w:sz w:val="24"/>
          <w:szCs w:val="24"/>
        </w:rPr>
        <w:t>A composição química teórica dos biscoitos padrão e adicionados de F</w:t>
      </w:r>
      <w:r w:rsidR="000679C3">
        <w:rPr>
          <w:rFonts w:cs="Times New Roman"/>
          <w:sz w:val="24"/>
          <w:szCs w:val="24"/>
        </w:rPr>
        <w:t>B</w:t>
      </w:r>
      <w:r w:rsidRPr="00C94174">
        <w:rPr>
          <w:rFonts w:cs="Times New Roman"/>
          <w:sz w:val="24"/>
          <w:szCs w:val="24"/>
        </w:rPr>
        <w:t xml:space="preserve">M encontra-se na Tabela 3. </w:t>
      </w:r>
    </w:p>
    <w:p w:rsidR="00C94174" w:rsidRPr="00C94174" w:rsidRDefault="00C94174" w:rsidP="00C94174">
      <w:pPr>
        <w:jc w:val="both"/>
      </w:pPr>
    </w:p>
    <w:p w:rsidR="00C94174" w:rsidRPr="000E7CD3" w:rsidRDefault="00C94174" w:rsidP="000E7CD3">
      <w:pPr>
        <w:jc w:val="center"/>
        <w:rPr>
          <w:b/>
        </w:rPr>
      </w:pPr>
      <w:r w:rsidRPr="000E7CD3">
        <w:rPr>
          <w:b/>
        </w:rPr>
        <w:t>Tabela 3</w:t>
      </w:r>
      <w:r w:rsidR="005347D5">
        <w:rPr>
          <w:b/>
        </w:rPr>
        <w:t>.</w:t>
      </w:r>
      <w:r w:rsidR="000E7CD3" w:rsidRPr="000E7CD3">
        <w:rPr>
          <w:b/>
        </w:rPr>
        <w:t xml:space="preserve"> </w:t>
      </w:r>
      <w:r w:rsidRPr="000E7CD3">
        <w:rPr>
          <w:b/>
        </w:rPr>
        <w:t xml:space="preserve">Composição química teórica dos biscoitos padrão (F1) e adicionados de farinha de </w:t>
      </w:r>
      <w:r w:rsidR="00665233">
        <w:rPr>
          <w:b/>
        </w:rPr>
        <w:t xml:space="preserve">bagaço de </w:t>
      </w:r>
      <w:r w:rsidRPr="000E7CD3">
        <w:rPr>
          <w:b/>
        </w:rPr>
        <w:t>maçã (F</w:t>
      </w:r>
      <w:r w:rsidR="000679C3">
        <w:rPr>
          <w:b/>
        </w:rPr>
        <w:t>B</w:t>
      </w:r>
      <w:r w:rsidRPr="000E7CD3">
        <w:rPr>
          <w:b/>
        </w:rPr>
        <w:t>M) (8,5%: F2 e 14,2%: F3), comparados com a porcentagem de valores diários recomendados – VD* (porção média de 50 gramas)</w:t>
      </w:r>
    </w:p>
    <w:tbl>
      <w:tblPr>
        <w:tblW w:w="8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992"/>
        <w:gridCol w:w="851"/>
        <w:gridCol w:w="992"/>
        <w:gridCol w:w="988"/>
        <w:gridCol w:w="876"/>
        <w:gridCol w:w="1047"/>
      </w:tblGrid>
      <w:tr w:rsidR="00C94174" w:rsidRPr="00C94174" w:rsidTr="00EB15A1"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94174" w:rsidRPr="00C94174" w:rsidRDefault="00C94174" w:rsidP="00C94174">
            <w:pPr>
              <w:pStyle w:val="SemEspaamento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b/>
                <w:sz w:val="24"/>
                <w:szCs w:val="24"/>
              </w:rPr>
              <w:t>Formulações/</w:t>
            </w:r>
          </w:p>
          <w:p w:rsidR="00C94174" w:rsidRPr="00C94174" w:rsidRDefault="00C94174" w:rsidP="00C94174">
            <w:pPr>
              <w:pStyle w:val="SemEspaamento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C94174" w:rsidRPr="00C94174" w:rsidRDefault="00C94174" w:rsidP="000E7CD3">
            <w:pPr>
              <w:pStyle w:val="SemEspaamento1"/>
              <w:ind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b/>
                <w:sz w:val="24"/>
                <w:szCs w:val="24"/>
              </w:rPr>
              <w:t>F1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C94174" w:rsidRPr="00C94174" w:rsidRDefault="00C94174" w:rsidP="000E7CD3">
            <w:pPr>
              <w:pStyle w:val="SemEspaamento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b/>
                <w:sz w:val="24"/>
                <w:szCs w:val="24"/>
              </w:rPr>
              <w:t>F2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94174" w:rsidRPr="00C94174" w:rsidRDefault="00C94174" w:rsidP="000E7CD3">
            <w:pPr>
              <w:pStyle w:val="SemEspaamento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b/>
                <w:sz w:val="24"/>
                <w:szCs w:val="24"/>
              </w:rPr>
              <w:t>F3</w:t>
            </w:r>
          </w:p>
        </w:tc>
      </w:tr>
      <w:tr w:rsidR="00C94174" w:rsidRPr="00C94174" w:rsidTr="00EB15A1">
        <w:tc>
          <w:tcPr>
            <w:tcW w:w="2977" w:type="dxa"/>
            <w:vMerge/>
            <w:tcBorders>
              <w:left w:val="single" w:sz="12" w:space="0" w:color="auto"/>
            </w:tcBorders>
          </w:tcPr>
          <w:p w:rsidR="00C94174" w:rsidRPr="00C94174" w:rsidRDefault="00C94174" w:rsidP="00C94174">
            <w:pPr>
              <w:pStyle w:val="SemEspaamento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4174" w:rsidRPr="00C94174" w:rsidRDefault="00C94174" w:rsidP="000E7CD3">
            <w:pPr>
              <w:pStyle w:val="SemEspaament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851" w:type="dxa"/>
          </w:tcPr>
          <w:p w:rsidR="00C94174" w:rsidRPr="00C94174" w:rsidRDefault="00C94174" w:rsidP="000E7CD3">
            <w:pPr>
              <w:pStyle w:val="SemEspaamento1"/>
              <w:ind w:left="-7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sz w:val="24"/>
                <w:szCs w:val="24"/>
              </w:rPr>
              <w:t>% VD*</w:t>
            </w:r>
          </w:p>
        </w:tc>
        <w:tc>
          <w:tcPr>
            <w:tcW w:w="992" w:type="dxa"/>
          </w:tcPr>
          <w:p w:rsidR="00C94174" w:rsidRPr="00C94174" w:rsidRDefault="00C94174" w:rsidP="000E7CD3">
            <w:pPr>
              <w:pStyle w:val="SemEspaament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988" w:type="dxa"/>
          </w:tcPr>
          <w:p w:rsidR="00C94174" w:rsidRPr="00C94174" w:rsidRDefault="00C94174" w:rsidP="000E7CD3">
            <w:pPr>
              <w:pStyle w:val="SemEspaament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sz w:val="24"/>
                <w:szCs w:val="24"/>
              </w:rPr>
              <w:t>% VD*</w:t>
            </w:r>
          </w:p>
        </w:tc>
        <w:tc>
          <w:tcPr>
            <w:tcW w:w="876" w:type="dxa"/>
          </w:tcPr>
          <w:p w:rsidR="00C94174" w:rsidRPr="00C94174" w:rsidRDefault="00C94174" w:rsidP="000E7CD3">
            <w:pPr>
              <w:pStyle w:val="SemEspaament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C94174" w:rsidRPr="00C94174" w:rsidRDefault="00C94174" w:rsidP="000E7CD3">
            <w:pPr>
              <w:pStyle w:val="SemEspaament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4">
              <w:rPr>
                <w:rFonts w:ascii="Times New Roman" w:hAnsi="Times New Roman" w:cs="Times New Roman"/>
                <w:sz w:val="24"/>
                <w:szCs w:val="24"/>
              </w:rPr>
              <w:t>% VD*</w:t>
            </w:r>
          </w:p>
        </w:tc>
      </w:tr>
      <w:tr w:rsidR="00B37BCD" w:rsidRPr="00672E0E" w:rsidTr="00EB15A1">
        <w:tc>
          <w:tcPr>
            <w:tcW w:w="2977" w:type="dxa"/>
            <w:tcBorders>
              <w:left w:val="single" w:sz="12" w:space="0" w:color="auto"/>
            </w:tcBorders>
          </w:tcPr>
          <w:p w:rsidR="00B37BCD" w:rsidRPr="00672E0E" w:rsidRDefault="00B37BCD" w:rsidP="00C94174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 xml:space="preserve">Umidade </w:t>
            </w:r>
            <w:r w:rsidR="009F780B" w:rsidRPr="00672E0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2" w:type="dxa"/>
            <w:vAlign w:val="bottom"/>
          </w:tcPr>
          <w:p w:rsidR="00B37BCD" w:rsidRPr="00672E0E" w:rsidRDefault="00B37BCD" w:rsidP="000E7CD3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21,48</w:t>
            </w:r>
          </w:p>
        </w:tc>
        <w:tc>
          <w:tcPr>
            <w:tcW w:w="851" w:type="dxa"/>
            <w:vAlign w:val="bottom"/>
          </w:tcPr>
          <w:p w:rsidR="00B37BCD" w:rsidRPr="00672E0E" w:rsidRDefault="00EB15A1" w:rsidP="000E7CD3">
            <w:pPr>
              <w:ind w:left="-78" w:right="-118"/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B37BCD" w:rsidRPr="00672E0E" w:rsidRDefault="00B37BCD" w:rsidP="000E7CD3">
            <w:pPr>
              <w:ind w:left="-108" w:right="-107"/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20,98</w:t>
            </w:r>
          </w:p>
        </w:tc>
        <w:tc>
          <w:tcPr>
            <w:tcW w:w="988" w:type="dxa"/>
            <w:vAlign w:val="bottom"/>
          </w:tcPr>
          <w:p w:rsidR="00B37BCD" w:rsidRPr="00672E0E" w:rsidRDefault="00EB15A1" w:rsidP="000E7CD3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-</w:t>
            </w:r>
          </w:p>
        </w:tc>
        <w:tc>
          <w:tcPr>
            <w:tcW w:w="876" w:type="dxa"/>
            <w:vAlign w:val="bottom"/>
          </w:tcPr>
          <w:p w:rsidR="00B37BCD" w:rsidRPr="00672E0E" w:rsidRDefault="00B37BCD" w:rsidP="003D2752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20,65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bottom"/>
          </w:tcPr>
          <w:p w:rsidR="00B37BCD" w:rsidRPr="00672E0E" w:rsidRDefault="00EB15A1" w:rsidP="000E7CD3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-</w:t>
            </w:r>
          </w:p>
        </w:tc>
      </w:tr>
      <w:tr w:rsidR="00B37BCD" w:rsidRPr="00672E0E" w:rsidTr="00EB15A1">
        <w:tc>
          <w:tcPr>
            <w:tcW w:w="2977" w:type="dxa"/>
            <w:tcBorders>
              <w:left w:val="single" w:sz="12" w:space="0" w:color="auto"/>
            </w:tcBorders>
          </w:tcPr>
          <w:p w:rsidR="00B37BCD" w:rsidRPr="00672E0E" w:rsidRDefault="00B37BCD" w:rsidP="00C94174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 xml:space="preserve">Cinzas </w:t>
            </w:r>
            <w:r w:rsidR="009F780B" w:rsidRPr="00672E0E">
              <w:rPr>
                <w:rFonts w:ascii="Times New Roman" w:hAnsi="Times New Roman" w:cs="Times New Roman"/>
                <w:sz w:val="24"/>
                <w:szCs w:val="24"/>
              </w:rPr>
              <w:t>(g.100g</w:t>
            </w:r>
            <w:r w:rsidR="009F780B" w:rsidRPr="00672E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9F780B" w:rsidRPr="00672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B37BCD" w:rsidRPr="00672E0E" w:rsidRDefault="00B37BCD" w:rsidP="000E7CD3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1,09</w:t>
            </w:r>
          </w:p>
        </w:tc>
        <w:tc>
          <w:tcPr>
            <w:tcW w:w="851" w:type="dxa"/>
            <w:vAlign w:val="bottom"/>
          </w:tcPr>
          <w:p w:rsidR="00B37BCD" w:rsidRPr="00672E0E" w:rsidRDefault="00EB15A1" w:rsidP="000E7CD3">
            <w:pPr>
              <w:ind w:left="-78" w:right="-118"/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B37BCD" w:rsidRPr="00672E0E" w:rsidRDefault="00B37BCD" w:rsidP="000E7CD3">
            <w:pPr>
              <w:ind w:left="-108" w:right="-107"/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1,14</w:t>
            </w:r>
          </w:p>
        </w:tc>
        <w:tc>
          <w:tcPr>
            <w:tcW w:w="988" w:type="dxa"/>
            <w:vAlign w:val="bottom"/>
          </w:tcPr>
          <w:p w:rsidR="00B37BCD" w:rsidRPr="00672E0E" w:rsidRDefault="00EB15A1" w:rsidP="000E7CD3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-</w:t>
            </w:r>
          </w:p>
        </w:tc>
        <w:tc>
          <w:tcPr>
            <w:tcW w:w="876" w:type="dxa"/>
            <w:vAlign w:val="bottom"/>
          </w:tcPr>
          <w:p w:rsidR="00B37BCD" w:rsidRPr="00672E0E" w:rsidRDefault="00B37BCD" w:rsidP="003D2752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1,18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bottom"/>
          </w:tcPr>
          <w:p w:rsidR="00B37BCD" w:rsidRPr="00672E0E" w:rsidRDefault="00EB15A1" w:rsidP="000E7CD3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-</w:t>
            </w:r>
          </w:p>
        </w:tc>
      </w:tr>
      <w:tr w:rsidR="00EB15A1" w:rsidRPr="00672E0E" w:rsidTr="00EB15A1">
        <w:tc>
          <w:tcPr>
            <w:tcW w:w="2977" w:type="dxa"/>
            <w:tcBorders>
              <w:left w:val="single" w:sz="12" w:space="0" w:color="auto"/>
            </w:tcBorders>
          </w:tcPr>
          <w:p w:rsidR="00EB15A1" w:rsidRPr="00672E0E" w:rsidRDefault="00EB15A1" w:rsidP="00C94174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Proteínas (g.100g</w:t>
            </w:r>
            <w:r w:rsidRPr="00672E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7,13</w:t>
            </w:r>
          </w:p>
        </w:tc>
        <w:tc>
          <w:tcPr>
            <w:tcW w:w="851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4,77</w:t>
            </w:r>
          </w:p>
        </w:tc>
        <w:tc>
          <w:tcPr>
            <w:tcW w:w="992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6,58</w:t>
            </w:r>
          </w:p>
        </w:tc>
        <w:tc>
          <w:tcPr>
            <w:tcW w:w="988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4,41</w:t>
            </w:r>
          </w:p>
        </w:tc>
        <w:tc>
          <w:tcPr>
            <w:tcW w:w="876" w:type="dxa"/>
            <w:vAlign w:val="bottom"/>
          </w:tcPr>
          <w:p w:rsidR="00EB15A1" w:rsidRPr="00672E0E" w:rsidRDefault="00EB15A1" w:rsidP="003D2752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6,23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4,17</w:t>
            </w:r>
          </w:p>
        </w:tc>
      </w:tr>
      <w:tr w:rsidR="00EB15A1" w:rsidRPr="00672E0E" w:rsidTr="00EB15A1">
        <w:tc>
          <w:tcPr>
            <w:tcW w:w="2977" w:type="dxa"/>
            <w:tcBorders>
              <w:left w:val="single" w:sz="12" w:space="0" w:color="auto"/>
            </w:tcBorders>
          </w:tcPr>
          <w:p w:rsidR="00EB15A1" w:rsidRPr="00672E0E" w:rsidRDefault="00EB15A1" w:rsidP="00C94174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Lipídios (g.100g</w:t>
            </w:r>
            <w:r w:rsidRPr="00672E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10,72</w:t>
            </w:r>
          </w:p>
        </w:tc>
        <w:tc>
          <w:tcPr>
            <w:tcW w:w="851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6,95</w:t>
            </w:r>
          </w:p>
        </w:tc>
        <w:tc>
          <w:tcPr>
            <w:tcW w:w="992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10,72</w:t>
            </w:r>
          </w:p>
        </w:tc>
        <w:tc>
          <w:tcPr>
            <w:tcW w:w="988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6,95</w:t>
            </w:r>
          </w:p>
        </w:tc>
        <w:tc>
          <w:tcPr>
            <w:tcW w:w="876" w:type="dxa"/>
            <w:vAlign w:val="bottom"/>
          </w:tcPr>
          <w:p w:rsidR="00EB15A1" w:rsidRPr="00672E0E" w:rsidRDefault="00EB15A1" w:rsidP="003D2752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10,71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6,95</w:t>
            </w:r>
          </w:p>
        </w:tc>
      </w:tr>
      <w:tr w:rsidR="00EB15A1" w:rsidRPr="00672E0E" w:rsidTr="00EB15A1">
        <w:tc>
          <w:tcPr>
            <w:tcW w:w="2977" w:type="dxa"/>
            <w:tcBorders>
              <w:left w:val="single" w:sz="12" w:space="0" w:color="auto"/>
            </w:tcBorders>
          </w:tcPr>
          <w:p w:rsidR="00EB15A1" w:rsidRPr="00672E0E" w:rsidRDefault="00EB15A1" w:rsidP="00C94174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Carboidratos (g.100g</w:t>
            </w:r>
            <w:r w:rsidRPr="00672E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59,72</w:t>
            </w:r>
          </w:p>
        </w:tc>
        <w:tc>
          <w:tcPr>
            <w:tcW w:w="851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10,81</w:t>
            </w:r>
          </w:p>
        </w:tc>
        <w:tc>
          <w:tcPr>
            <w:tcW w:w="992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60,71</w:t>
            </w:r>
          </w:p>
        </w:tc>
        <w:tc>
          <w:tcPr>
            <w:tcW w:w="988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10,99</w:t>
            </w:r>
          </w:p>
        </w:tc>
        <w:tc>
          <w:tcPr>
            <w:tcW w:w="876" w:type="dxa"/>
            <w:vAlign w:val="bottom"/>
          </w:tcPr>
          <w:p w:rsidR="00EB15A1" w:rsidRPr="00672E0E" w:rsidRDefault="00EB15A1" w:rsidP="003D2752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61,35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11,1</w:t>
            </w:r>
          </w:p>
        </w:tc>
      </w:tr>
      <w:tr w:rsidR="00EB15A1" w:rsidRPr="00672E0E" w:rsidTr="00EB15A1">
        <w:tc>
          <w:tcPr>
            <w:tcW w:w="2977" w:type="dxa"/>
            <w:tcBorders>
              <w:left w:val="single" w:sz="12" w:space="0" w:color="auto"/>
            </w:tcBorders>
          </w:tcPr>
          <w:p w:rsidR="00EB15A1" w:rsidRPr="00672E0E" w:rsidRDefault="00EB15A1" w:rsidP="00C94174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Valor calórico (kcal.100g</w:t>
            </w:r>
            <w:r w:rsidRPr="00672E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361,12</w:t>
            </w:r>
          </w:p>
        </w:tc>
        <w:tc>
          <w:tcPr>
            <w:tcW w:w="851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8,56</w:t>
            </w:r>
          </w:p>
        </w:tc>
        <w:tc>
          <w:tcPr>
            <w:tcW w:w="992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361,98</w:t>
            </w:r>
          </w:p>
        </w:tc>
        <w:tc>
          <w:tcPr>
            <w:tcW w:w="988" w:type="dxa"/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8,58</w:t>
            </w:r>
          </w:p>
        </w:tc>
        <w:tc>
          <w:tcPr>
            <w:tcW w:w="876" w:type="dxa"/>
            <w:vAlign w:val="bottom"/>
          </w:tcPr>
          <w:p w:rsidR="00EB15A1" w:rsidRPr="00672E0E" w:rsidRDefault="00EB15A1" w:rsidP="003D2752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362,53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8,59</w:t>
            </w:r>
          </w:p>
        </w:tc>
      </w:tr>
      <w:tr w:rsidR="00EB15A1" w:rsidRPr="00C94174" w:rsidTr="00EB15A1"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EB15A1" w:rsidRPr="00672E0E" w:rsidRDefault="00EB15A1" w:rsidP="00C94174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Fibra alimentar (g.100g</w:t>
            </w:r>
            <w:r w:rsidRPr="00672E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2,01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7,02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5,47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bottom"/>
          </w:tcPr>
          <w:p w:rsidR="00EB15A1" w:rsidRPr="00672E0E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19,11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bottom"/>
          </w:tcPr>
          <w:p w:rsidR="00EB15A1" w:rsidRPr="00672E0E" w:rsidRDefault="00EB15A1" w:rsidP="003D2752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7,8</w:t>
            </w:r>
            <w:r w:rsidR="003D2752" w:rsidRPr="00672E0E">
              <w:rPr>
                <w:color w:val="000000"/>
              </w:rPr>
              <w:t>0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5A1" w:rsidRPr="00EB15A1" w:rsidRDefault="00EB15A1" w:rsidP="00C74B45">
            <w:pPr>
              <w:jc w:val="center"/>
              <w:rPr>
                <w:color w:val="000000"/>
              </w:rPr>
            </w:pPr>
            <w:r w:rsidRPr="00672E0E">
              <w:rPr>
                <w:color w:val="000000"/>
              </w:rPr>
              <w:t>27,25</w:t>
            </w:r>
          </w:p>
        </w:tc>
      </w:tr>
    </w:tbl>
    <w:p w:rsidR="000E7CD3" w:rsidRDefault="00C94174" w:rsidP="000E7CD3">
      <w:pPr>
        <w:jc w:val="both"/>
        <w:rPr>
          <w:sz w:val="20"/>
          <w:szCs w:val="20"/>
        </w:rPr>
      </w:pPr>
      <w:r w:rsidRPr="000E7CD3">
        <w:rPr>
          <w:sz w:val="20"/>
          <w:szCs w:val="20"/>
        </w:rPr>
        <w:t xml:space="preserve">*VD: nutrientes avaliados pela média da DRI (2005), com base numa dieta de </w:t>
      </w:r>
      <w:r w:rsidRPr="000E7CD3">
        <w:rPr>
          <w:rStyle w:val="mediumtext1"/>
          <w:sz w:val="20"/>
          <w:szCs w:val="20"/>
          <w:shd w:val="clear" w:color="auto" w:fill="FFFFFF"/>
        </w:rPr>
        <w:t>2</w:t>
      </w:r>
      <w:r w:rsidR="009761E9">
        <w:rPr>
          <w:rStyle w:val="mediumtext1"/>
          <w:sz w:val="20"/>
          <w:szCs w:val="20"/>
          <w:shd w:val="clear" w:color="auto" w:fill="FFFFFF"/>
        </w:rPr>
        <w:t>.</w:t>
      </w:r>
      <w:r w:rsidRPr="000E7CD3">
        <w:rPr>
          <w:rStyle w:val="mediumtext1"/>
          <w:sz w:val="20"/>
          <w:szCs w:val="20"/>
          <w:shd w:val="clear" w:color="auto" w:fill="FFFFFF"/>
        </w:rPr>
        <w:t>107,90</w:t>
      </w:r>
      <w:r w:rsidRPr="000E7CD3">
        <w:rPr>
          <w:sz w:val="20"/>
          <w:szCs w:val="20"/>
        </w:rPr>
        <w:t xml:space="preserve"> kcal em média.</w:t>
      </w:r>
    </w:p>
    <w:p w:rsidR="000E7CD3" w:rsidRPr="000E2B3F" w:rsidRDefault="000E7CD3" w:rsidP="000E7CD3">
      <w:pPr>
        <w:jc w:val="both"/>
      </w:pPr>
    </w:p>
    <w:p w:rsidR="00DB66AE" w:rsidRDefault="00FD500D" w:rsidP="00800BBC">
      <w:pPr>
        <w:jc w:val="both"/>
        <w:rPr>
          <w:color w:val="000000"/>
        </w:rPr>
      </w:pPr>
      <w:r>
        <w:t>Maiores teores de umidade e proteínas foram verificadas em F1</w:t>
      </w:r>
      <w:r w:rsidR="00B82359">
        <w:t>, reduzindo-se conforme se adicionou F</w:t>
      </w:r>
      <w:r w:rsidR="000679C3">
        <w:t>B</w:t>
      </w:r>
      <w:r w:rsidR="00B82359">
        <w:t xml:space="preserve">M. Esse efeito é explicado, pois a </w:t>
      </w:r>
      <w:r w:rsidR="00B82359" w:rsidRPr="003D2752">
        <w:t xml:space="preserve">farinha de trigo </w:t>
      </w:r>
      <w:r w:rsidR="00B82359">
        <w:t>(13,0% e 9,8 g/100g de proteínas</w:t>
      </w:r>
      <w:r w:rsidR="00B82359" w:rsidRPr="003D2752">
        <w:t xml:space="preserve">) </w:t>
      </w:r>
      <w:r w:rsidR="00B82359">
        <w:t xml:space="preserve">apresenta maiores conteúdos em sua composição que a </w:t>
      </w:r>
      <w:r w:rsidR="00672E0E">
        <w:t>F</w:t>
      </w:r>
      <w:r w:rsidR="000679C3">
        <w:t>B</w:t>
      </w:r>
      <w:r w:rsidR="00672E0E">
        <w:t>M</w:t>
      </w:r>
      <w:r w:rsidR="00B82359">
        <w:t xml:space="preserve"> (7,1% e 3,35 g/100g de proteínas).</w:t>
      </w:r>
      <w:r w:rsidR="00336FE5">
        <w:t xml:space="preserve"> A adição de F</w:t>
      </w:r>
      <w:r w:rsidR="000679C3">
        <w:t>B</w:t>
      </w:r>
      <w:r w:rsidR="00336FE5">
        <w:t>M nas amostras elevou a quantidade de cinzas, carboidratos e calorias, o que também se explica pela diferença na composição química da farinha de trigo (0,8</w:t>
      </w:r>
      <w:r w:rsidR="00336FE5" w:rsidRPr="00336FE5">
        <w:t xml:space="preserve"> </w:t>
      </w:r>
      <w:r w:rsidR="00336FE5" w:rsidRPr="003D2752">
        <w:t xml:space="preserve">g/100g </w:t>
      </w:r>
      <w:r w:rsidR="00336FE5">
        <w:t xml:space="preserve">de cinzas, </w:t>
      </w:r>
      <w:r w:rsidR="00336FE5" w:rsidRPr="003D2752">
        <w:t xml:space="preserve">75,1 g/100g de carboidratos e 360,00 kcal) </w:t>
      </w:r>
      <w:r w:rsidR="00336FE5">
        <w:t>e F</w:t>
      </w:r>
      <w:r w:rsidR="000679C3">
        <w:t>B</w:t>
      </w:r>
      <w:r w:rsidR="00336FE5">
        <w:t>M (</w:t>
      </w:r>
      <w:r w:rsidR="00672E0E">
        <w:t>1,46</w:t>
      </w:r>
      <w:r w:rsidR="00672E0E" w:rsidRPr="00672E0E">
        <w:t xml:space="preserve"> </w:t>
      </w:r>
      <w:r w:rsidR="00672E0E" w:rsidRPr="003D2752">
        <w:t>g/100g</w:t>
      </w:r>
      <w:r w:rsidR="00672E0E">
        <w:t>,</w:t>
      </w:r>
      <w:r w:rsidR="00672E0E" w:rsidRPr="003D2752">
        <w:t xml:space="preserve"> </w:t>
      </w:r>
      <w:r w:rsidR="00672E0E">
        <w:t xml:space="preserve"> </w:t>
      </w:r>
      <w:r w:rsidR="00336FE5" w:rsidRPr="003D2752">
        <w:t xml:space="preserve">86,78 g/100g </w:t>
      </w:r>
      <w:r w:rsidR="00E510E5">
        <w:t>de carboidratos e 370,10 kcal)</w:t>
      </w:r>
      <w:r w:rsidR="00336FE5">
        <w:t>.</w:t>
      </w:r>
      <w:r w:rsidR="00672E0E">
        <w:t xml:space="preserve"> Entretanto, os valores de lipídios foram muito similares nas 3 formulações, devido ao teor deste nutriente estar presente em quantidade próxima na farinha de trigo (1</w:t>
      </w:r>
      <w:r w:rsidR="00672E0E" w:rsidRPr="003D2752">
        <w:t>,4 g/100g de lipídios</w:t>
      </w:r>
      <w:r w:rsidR="00672E0E">
        <w:t>) e F</w:t>
      </w:r>
      <w:r w:rsidR="000679C3">
        <w:t>B</w:t>
      </w:r>
      <w:r w:rsidR="00672E0E">
        <w:t>M (</w:t>
      </w:r>
      <w:r w:rsidR="00672E0E" w:rsidRPr="003D2752">
        <w:t>1,31 g/100g de lipídios</w:t>
      </w:r>
      <w:r w:rsidR="00672E0E">
        <w:t xml:space="preserve">) </w:t>
      </w:r>
      <w:r w:rsidR="00672E0E" w:rsidRPr="003D2752">
        <w:t>(COELHO e WOSIACKI, 2010</w:t>
      </w:r>
      <w:r w:rsidR="00E510E5">
        <w:t>;</w:t>
      </w:r>
      <w:r w:rsidR="00E510E5" w:rsidRPr="00E510E5">
        <w:t xml:space="preserve"> </w:t>
      </w:r>
      <w:r w:rsidR="00E510E5">
        <w:t>TACO, 2011</w:t>
      </w:r>
      <w:r w:rsidR="00672E0E" w:rsidRPr="003D2752">
        <w:t>)</w:t>
      </w:r>
      <w:r w:rsidR="00672E0E">
        <w:t xml:space="preserve">. A maioria dos resultados verificados no presente estudo </w:t>
      </w:r>
      <w:r w:rsidR="003D2752" w:rsidRPr="003D2752">
        <w:t xml:space="preserve">corroboram com </w:t>
      </w:r>
      <w:r w:rsidR="00C94174" w:rsidRPr="003D2752">
        <w:rPr>
          <w:color w:val="000000"/>
        </w:rPr>
        <w:t>Sudha</w:t>
      </w:r>
      <w:r w:rsidR="00F61649" w:rsidRPr="003D2752">
        <w:rPr>
          <w:color w:val="000000"/>
        </w:rPr>
        <w:t xml:space="preserve"> et al.</w:t>
      </w:r>
      <w:r w:rsidR="006E59C4" w:rsidRPr="003D2752">
        <w:rPr>
          <w:color w:val="000000"/>
        </w:rPr>
        <w:t xml:space="preserve"> (2006)</w:t>
      </w:r>
      <w:r w:rsidR="003D2752" w:rsidRPr="003D2752">
        <w:rPr>
          <w:color w:val="000000"/>
        </w:rPr>
        <w:t>, que</w:t>
      </w:r>
      <w:r w:rsidR="006E59C4" w:rsidRPr="003D2752">
        <w:rPr>
          <w:color w:val="000000"/>
        </w:rPr>
        <w:t xml:space="preserve"> avaliar</w:t>
      </w:r>
      <w:r w:rsidR="003D2752" w:rsidRPr="003D2752">
        <w:rPr>
          <w:color w:val="000000"/>
        </w:rPr>
        <w:t>am</w:t>
      </w:r>
      <w:r w:rsidR="00C94174" w:rsidRPr="003D2752">
        <w:rPr>
          <w:color w:val="000000"/>
        </w:rPr>
        <w:t xml:space="preserve"> bolo</w:t>
      </w:r>
      <w:r w:rsidR="00F61649" w:rsidRPr="003D2752">
        <w:rPr>
          <w:color w:val="000000"/>
        </w:rPr>
        <w:t>s</w:t>
      </w:r>
      <w:r w:rsidR="00C94174" w:rsidRPr="003D2752">
        <w:rPr>
          <w:color w:val="000000"/>
        </w:rPr>
        <w:t xml:space="preserve"> </w:t>
      </w:r>
      <w:r w:rsidR="00F61649" w:rsidRPr="003D2752">
        <w:rPr>
          <w:color w:val="000000"/>
        </w:rPr>
        <w:t>elaborados</w:t>
      </w:r>
      <w:r w:rsidR="00C94174" w:rsidRPr="003D2752">
        <w:rPr>
          <w:color w:val="000000"/>
        </w:rPr>
        <w:t xml:space="preserve"> com </w:t>
      </w:r>
      <w:r w:rsidR="003D2752" w:rsidRPr="003D2752">
        <w:rPr>
          <w:color w:val="000000"/>
        </w:rPr>
        <w:t xml:space="preserve">adição de </w:t>
      </w:r>
      <w:r w:rsidR="00C94174" w:rsidRPr="003D2752">
        <w:rPr>
          <w:color w:val="000000"/>
        </w:rPr>
        <w:t xml:space="preserve">bagaço de maçã </w:t>
      </w:r>
      <w:r w:rsidR="006E59C4" w:rsidRPr="003D2752">
        <w:rPr>
          <w:color w:val="000000"/>
        </w:rPr>
        <w:t>(0 e 25%)</w:t>
      </w:r>
      <w:r w:rsidR="003D2752" w:rsidRPr="003D2752">
        <w:rPr>
          <w:color w:val="000000"/>
        </w:rPr>
        <w:t>.</w:t>
      </w:r>
    </w:p>
    <w:p w:rsidR="00800BBC" w:rsidRDefault="00800BBC" w:rsidP="00800BB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113E6" w:rsidRPr="00A113E6" w:rsidRDefault="00672E0E" w:rsidP="00A113E6">
      <w:pPr>
        <w:pStyle w:val="SemEspaamento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Destaca-se que f</w:t>
      </w:r>
      <w:r w:rsidR="00A113E6" w:rsidRPr="002F1D45">
        <w:rPr>
          <w:rFonts w:ascii="Times New Roman" w:hAnsi="Times New Roman" w:cs="Times New Roman"/>
          <w:bCs/>
          <w:sz w:val="24"/>
          <w:szCs w:val="24"/>
        </w:rPr>
        <w:t xml:space="preserve">oi verificado um aumento de fibra alimentar de </w:t>
      </w:r>
      <w:r w:rsidR="00A45BD9">
        <w:rPr>
          <w:rFonts w:ascii="Times New Roman" w:hAnsi="Times New Roman" w:cs="Times New Roman"/>
          <w:bCs/>
          <w:sz w:val="24"/>
          <w:szCs w:val="24"/>
        </w:rPr>
        <w:t>172,13</w:t>
      </w:r>
      <w:r w:rsidR="00F61649" w:rsidRPr="002F1D45">
        <w:rPr>
          <w:rFonts w:ascii="Times New Roman" w:hAnsi="Times New Roman" w:cs="Times New Roman"/>
          <w:bCs/>
          <w:sz w:val="24"/>
          <w:szCs w:val="24"/>
        </w:rPr>
        <w:t xml:space="preserve">% em F2 e </w:t>
      </w:r>
      <w:r w:rsidR="00A45BD9">
        <w:rPr>
          <w:rFonts w:ascii="Times New Roman" w:hAnsi="Times New Roman" w:cs="Times New Roman"/>
          <w:bCs/>
          <w:sz w:val="24"/>
          <w:szCs w:val="24"/>
        </w:rPr>
        <w:t>288,05</w:t>
      </w:r>
      <w:r w:rsidR="00A113E6" w:rsidRPr="002F1D45">
        <w:rPr>
          <w:rFonts w:ascii="Times New Roman" w:hAnsi="Times New Roman" w:cs="Times New Roman"/>
          <w:bCs/>
          <w:sz w:val="24"/>
          <w:szCs w:val="24"/>
        </w:rPr>
        <w:t xml:space="preserve">% em F3 quando comparadas a F1, fato de extrema relevância, pois as fibras desempenham diversas funções no </w:t>
      </w:r>
      <w:r w:rsidR="00A113E6" w:rsidRPr="002F1D45">
        <w:rPr>
          <w:rFonts w:ascii="Times New Roman" w:hAnsi="Times New Roman" w:cs="Times New Roman"/>
          <w:sz w:val="24"/>
          <w:szCs w:val="24"/>
        </w:rPr>
        <w:t xml:space="preserve">trato gastrintestinal humano, dentre elas a diminuição da absorção de gorduras, o </w:t>
      </w:r>
      <w:r w:rsidR="00A113E6" w:rsidRPr="00A113E6">
        <w:rPr>
          <w:rFonts w:ascii="Times New Roman" w:hAnsi="Times New Roman" w:cs="Times New Roman"/>
          <w:sz w:val="24"/>
          <w:szCs w:val="24"/>
        </w:rPr>
        <w:t>aumento no peristaltismo intestinal, a atuação no combate ao colesterol além de contribuírem para a saciedade. Todas essas propriedades são importantes para o tratamento e a prevenção d</w:t>
      </w:r>
      <w:r w:rsidR="007275E9">
        <w:rPr>
          <w:rFonts w:ascii="Times New Roman" w:hAnsi="Times New Roman" w:cs="Times New Roman"/>
          <w:sz w:val="24"/>
          <w:szCs w:val="24"/>
        </w:rPr>
        <w:t>a obesidade e suas complicações</w:t>
      </w:r>
      <w:r w:rsidR="00A113E6" w:rsidRPr="00A113E6">
        <w:rPr>
          <w:rFonts w:ascii="Times New Roman" w:hAnsi="Times New Roman" w:cs="Times New Roman"/>
          <w:sz w:val="24"/>
          <w:szCs w:val="24"/>
        </w:rPr>
        <w:t xml:space="preserve"> (SAYDELLES et al., 2010). </w:t>
      </w:r>
    </w:p>
    <w:p w:rsidR="00A113E6" w:rsidRPr="00A113E6" w:rsidRDefault="00A113E6" w:rsidP="00A113E6">
      <w:pPr>
        <w:pStyle w:val="SemEspaamento1"/>
        <w:jc w:val="both"/>
        <w:rPr>
          <w:rFonts w:ascii="Times New Roman" w:hAnsi="Times New Roman" w:cs="Times New Roman"/>
          <w:sz w:val="24"/>
          <w:szCs w:val="24"/>
        </w:rPr>
      </w:pPr>
    </w:p>
    <w:p w:rsidR="00A113E6" w:rsidRPr="00A113E6" w:rsidRDefault="00A113E6" w:rsidP="00A113E6">
      <w:pPr>
        <w:pStyle w:val="SemEspaamento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3E6">
        <w:rPr>
          <w:rFonts w:ascii="Times New Roman" w:hAnsi="Times New Roman" w:cs="Times New Roman"/>
          <w:sz w:val="24"/>
          <w:szCs w:val="24"/>
        </w:rPr>
        <w:t xml:space="preserve">De acordo com a Legislação Brasileira </w:t>
      </w:r>
      <w:r w:rsidRPr="00A113E6">
        <w:rPr>
          <w:rFonts w:ascii="Times New Roman" w:hAnsi="Times New Roman" w:cs="Times New Roman"/>
          <w:color w:val="000000"/>
          <w:sz w:val="24"/>
          <w:szCs w:val="24"/>
        </w:rPr>
        <w:t xml:space="preserve">(BRASIL, 1998), um produto </w:t>
      </w:r>
      <w:r w:rsidRPr="00A113E6">
        <w:rPr>
          <w:rFonts w:ascii="Times New Roman" w:hAnsi="Times New Roman" w:cs="Times New Roman"/>
          <w:sz w:val="24"/>
          <w:szCs w:val="24"/>
        </w:rPr>
        <w:t xml:space="preserve">é considerado como fonte de fibra alimentar quando apresenta no mínimo 3% e com alto teor no mínimo 6% em fibras, assim </w:t>
      </w:r>
      <w:r w:rsidR="00A103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113E6">
        <w:rPr>
          <w:rFonts w:ascii="Times New Roman" w:hAnsi="Times New Roman" w:cs="Times New Roman"/>
          <w:color w:val="000000"/>
          <w:sz w:val="24"/>
          <w:szCs w:val="24"/>
        </w:rPr>
        <w:t xml:space="preserve"> formulaç</w:t>
      </w:r>
      <w:r w:rsidR="00A103EB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A113E6">
        <w:rPr>
          <w:rFonts w:ascii="Times New Roman" w:hAnsi="Times New Roman" w:cs="Times New Roman"/>
          <w:color w:val="000000"/>
          <w:sz w:val="24"/>
          <w:szCs w:val="24"/>
        </w:rPr>
        <w:t xml:space="preserve"> F2 </w:t>
      </w:r>
      <w:r w:rsidR="00A103EB">
        <w:rPr>
          <w:rFonts w:ascii="Times New Roman" w:hAnsi="Times New Roman" w:cs="Times New Roman"/>
          <w:color w:val="000000"/>
          <w:sz w:val="24"/>
          <w:szCs w:val="24"/>
        </w:rPr>
        <w:t>pode</w:t>
      </w:r>
      <w:r w:rsidRPr="00A113E6">
        <w:rPr>
          <w:rFonts w:ascii="Times New Roman" w:hAnsi="Times New Roman" w:cs="Times New Roman"/>
          <w:color w:val="000000"/>
          <w:sz w:val="24"/>
          <w:szCs w:val="24"/>
        </w:rPr>
        <w:t xml:space="preserve"> ser considerada como fonte </w:t>
      </w:r>
      <w:r w:rsidR="00A103EB">
        <w:rPr>
          <w:rFonts w:ascii="Times New Roman" w:hAnsi="Times New Roman" w:cs="Times New Roman"/>
          <w:color w:val="000000"/>
          <w:sz w:val="24"/>
          <w:szCs w:val="24"/>
        </w:rPr>
        <w:t>de fibra e F3 com alto teor</w:t>
      </w:r>
      <w:r w:rsidR="00A103EB" w:rsidRPr="00A1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3EB" w:rsidRPr="00A113E6">
        <w:rPr>
          <w:rFonts w:ascii="Times New Roman" w:hAnsi="Times New Roman" w:cs="Times New Roman"/>
          <w:color w:val="000000"/>
          <w:sz w:val="24"/>
          <w:szCs w:val="24"/>
        </w:rPr>
        <w:t>de fibras</w:t>
      </w:r>
      <w:r w:rsidRPr="00A113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4171" w:rsidRDefault="00944171" w:rsidP="00714AE3">
      <w:pPr>
        <w:autoSpaceDE w:val="0"/>
        <w:rPr>
          <w:b/>
        </w:rPr>
      </w:pPr>
      <w:r w:rsidRPr="002F1D45">
        <w:rPr>
          <w:b/>
        </w:rPr>
        <w:lastRenderedPageBreak/>
        <w:t>CONCLUSÃO</w:t>
      </w:r>
    </w:p>
    <w:p w:rsidR="00F37552" w:rsidRDefault="00F37552" w:rsidP="00714AE3">
      <w:pPr>
        <w:autoSpaceDE w:val="0"/>
        <w:rPr>
          <w:b/>
        </w:rPr>
      </w:pPr>
    </w:p>
    <w:p w:rsidR="00944171" w:rsidRDefault="00944171" w:rsidP="00714AE3">
      <w:pPr>
        <w:pStyle w:val="SemEspaamento2"/>
        <w:jc w:val="both"/>
        <w:rPr>
          <w:rFonts w:ascii="Times New Roman" w:hAnsi="Times New Roman"/>
          <w:sz w:val="24"/>
          <w:szCs w:val="24"/>
        </w:rPr>
      </w:pPr>
      <w:r w:rsidRPr="002F1D45">
        <w:rPr>
          <w:rFonts w:ascii="Times New Roman" w:hAnsi="Times New Roman"/>
          <w:sz w:val="24"/>
          <w:szCs w:val="24"/>
        </w:rPr>
        <w:t>O desenvolviment</w:t>
      </w:r>
      <w:r w:rsidR="00467A88">
        <w:rPr>
          <w:rFonts w:ascii="Times New Roman" w:hAnsi="Times New Roman"/>
          <w:sz w:val="24"/>
          <w:szCs w:val="24"/>
        </w:rPr>
        <w:t xml:space="preserve">o dos </w:t>
      </w:r>
      <w:r w:rsidR="00467A88" w:rsidRPr="00630A0C">
        <w:rPr>
          <w:rFonts w:ascii="Times New Roman" w:hAnsi="Times New Roman"/>
          <w:sz w:val="24"/>
          <w:szCs w:val="24"/>
        </w:rPr>
        <w:t>produtos permitiu evidencia</w:t>
      </w:r>
      <w:r w:rsidRPr="00630A0C">
        <w:rPr>
          <w:rFonts w:ascii="Times New Roman" w:hAnsi="Times New Roman"/>
          <w:sz w:val="24"/>
          <w:szCs w:val="24"/>
        </w:rPr>
        <w:t>r que um nível de adição de até 14,2%</w:t>
      </w:r>
      <w:r w:rsidR="00630A0C" w:rsidRPr="00630A0C">
        <w:rPr>
          <w:rFonts w:ascii="Times New Roman" w:hAnsi="Times New Roman"/>
          <w:sz w:val="24"/>
          <w:szCs w:val="24"/>
        </w:rPr>
        <w:t xml:space="preserve"> </w:t>
      </w:r>
      <w:r w:rsidRPr="00630A0C">
        <w:rPr>
          <w:rFonts w:ascii="Times New Roman" w:hAnsi="Times New Roman"/>
          <w:sz w:val="24"/>
          <w:szCs w:val="24"/>
        </w:rPr>
        <w:t xml:space="preserve">de farinha de </w:t>
      </w:r>
      <w:r w:rsidR="00665233">
        <w:rPr>
          <w:rFonts w:ascii="Times New Roman" w:hAnsi="Times New Roman"/>
          <w:sz w:val="24"/>
          <w:szCs w:val="24"/>
        </w:rPr>
        <w:t xml:space="preserve">bagaço de </w:t>
      </w:r>
      <w:r w:rsidRPr="00630A0C">
        <w:rPr>
          <w:rFonts w:ascii="Times New Roman" w:hAnsi="Times New Roman"/>
          <w:sz w:val="24"/>
          <w:szCs w:val="24"/>
        </w:rPr>
        <w:t xml:space="preserve">maçã </w:t>
      </w:r>
      <w:r w:rsidR="00630A0C" w:rsidRPr="00630A0C">
        <w:rPr>
          <w:rFonts w:ascii="Times New Roman" w:hAnsi="Times New Roman"/>
          <w:sz w:val="24"/>
          <w:szCs w:val="24"/>
        </w:rPr>
        <w:t xml:space="preserve">(redução de 50% de farinha de trigo) </w:t>
      </w:r>
      <w:r w:rsidRPr="00630A0C">
        <w:rPr>
          <w:rFonts w:ascii="Times New Roman" w:hAnsi="Times New Roman"/>
          <w:sz w:val="24"/>
          <w:szCs w:val="24"/>
        </w:rPr>
        <w:t>em biscoitos foi bem aceito pelos provadores, obtendo-se aceitação sensorial semelhante ao produto padrão.</w:t>
      </w:r>
    </w:p>
    <w:p w:rsidR="00944171" w:rsidRDefault="00944171" w:rsidP="00944171">
      <w:pPr>
        <w:pStyle w:val="SemEspaamento2"/>
        <w:jc w:val="both"/>
        <w:rPr>
          <w:rFonts w:ascii="Times New Roman" w:hAnsi="Times New Roman"/>
          <w:sz w:val="24"/>
          <w:szCs w:val="24"/>
        </w:rPr>
      </w:pPr>
    </w:p>
    <w:p w:rsidR="00944171" w:rsidRPr="002F1D45" w:rsidRDefault="00944171" w:rsidP="00944171">
      <w:pPr>
        <w:pStyle w:val="SemEspaamento2"/>
        <w:jc w:val="both"/>
        <w:rPr>
          <w:rFonts w:ascii="Times New Roman" w:hAnsi="Times New Roman"/>
          <w:sz w:val="24"/>
          <w:szCs w:val="24"/>
        </w:rPr>
      </w:pPr>
      <w:r w:rsidRPr="002F1D45">
        <w:rPr>
          <w:rFonts w:ascii="Times New Roman" w:hAnsi="Times New Roman"/>
          <w:sz w:val="24"/>
          <w:szCs w:val="24"/>
        </w:rPr>
        <w:t xml:space="preserve">A adição de 8,5 e 14,2% de farinha de </w:t>
      </w:r>
      <w:r w:rsidR="00665233">
        <w:rPr>
          <w:rFonts w:ascii="Times New Roman" w:hAnsi="Times New Roman"/>
          <w:sz w:val="24"/>
          <w:szCs w:val="24"/>
        </w:rPr>
        <w:t xml:space="preserve">bagaço de </w:t>
      </w:r>
      <w:r w:rsidRPr="002F1D45">
        <w:rPr>
          <w:rFonts w:ascii="Times New Roman" w:hAnsi="Times New Roman"/>
          <w:sz w:val="24"/>
          <w:szCs w:val="24"/>
        </w:rPr>
        <w:t xml:space="preserve">maçã </w:t>
      </w:r>
      <w:r w:rsidR="000D65E7">
        <w:rPr>
          <w:rFonts w:ascii="Times New Roman" w:hAnsi="Times New Roman"/>
          <w:sz w:val="24"/>
          <w:szCs w:val="24"/>
        </w:rPr>
        <w:t xml:space="preserve">elevou os teores de cinzas, carboidratos, calorias e fibras </w:t>
      </w:r>
      <w:r w:rsidR="000D65E7" w:rsidRPr="002F1D45">
        <w:rPr>
          <w:rFonts w:ascii="Times New Roman" w:hAnsi="Times New Roman"/>
          <w:sz w:val="24"/>
          <w:szCs w:val="24"/>
        </w:rPr>
        <w:t xml:space="preserve">melhorando </w:t>
      </w:r>
      <w:r w:rsidR="000D65E7">
        <w:rPr>
          <w:rFonts w:ascii="Times New Roman" w:hAnsi="Times New Roman"/>
          <w:sz w:val="24"/>
          <w:szCs w:val="24"/>
        </w:rPr>
        <w:t>o</w:t>
      </w:r>
      <w:r w:rsidR="000D65E7" w:rsidRPr="002F1D45">
        <w:rPr>
          <w:rFonts w:ascii="Times New Roman" w:hAnsi="Times New Roman"/>
          <w:sz w:val="24"/>
          <w:szCs w:val="24"/>
        </w:rPr>
        <w:t xml:space="preserve"> perfil nutricional</w:t>
      </w:r>
      <w:r w:rsidR="000D65E7">
        <w:rPr>
          <w:rFonts w:ascii="Times New Roman" w:hAnsi="Times New Roman"/>
          <w:sz w:val="24"/>
          <w:szCs w:val="24"/>
        </w:rPr>
        <w:t xml:space="preserve"> dos pr</w:t>
      </w:r>
      <w:r w:rsidRPr="002F1D45">
        <w:rPr>
          <w:rFonts w:ascii="Times New Roman" w:hAnsi="Times New Roman"/>
          <w:sz w:val="24"/>
          <w:szCs w:val="24"/>
        </w:rPr>
        <w:t xml:space="preserve">odutos, entretanto </w:t>
      </w:r>
      <w:r w:rsidR="000D65E7">
        <w:rPr>
          <w:rFonts w:ascii="Times New Roman" w:hAnsi="Times New Roman"/>
          <w:sz w:val="24"/>
          <w:szCs w:val="24"/>
        </w:rPr>
        <w:t>reduziu</w:t>
      </w:r>
      <w:r w:rsidRPr="002F1D45">
        <w:rPr>
          <w:rFonts w:ascii="Times New Roman" w:hAnsi="Times New Roman"/>
          <w:sz w:val="24"/>
          <w:szCs w:val="24"/>
        </w:rPr>
        <w:t xml:space="preserve"> </w:t>
      </w:r>
      <w:r w:rsidR="000D65E7">
        <w:rPr>
          <w:rFonts w:ascii="Times New Roman" w:hAnsi="Times New Roman"/>
          <w:sz w:val="24"/>
          <w:szCs w:val="24"/>
        </w:rPr>
        <w:t>os conteúdos</w:t>
      </w:r>
      <w:r w:rsidRPr="002F1D45">
        <w:rPr>
          <w:rFonts w:ascii="Times New Roman" w:hAnsi="Times New Roman"/>
          <w:sz w:val="24"/>
          <w:szCs w:val="24"/>
        </w:rPr>
        <w:t xml:space="preserve"> de </w:t>
      </w:r>
      <w:r w:rsidR="000D65E7">
        <w:rPr>
          <w:rFonts w:ascii="Times New Roman" w:hAnsi="Times New Roman"/>
          <w:sz w:val="24"/>
          <w:szCs w:val="24"/>
        </w:rPr>
        <w:t>umidade e proteínas</w:t>
      </w:r>
      <w:r w:rsidRPr="002F1D45">
        <w:rPr>
          <w:rFonts w:ascii="Times New Roman" w:hAnsi="Times New Roman"/>
          <w:sz w:val="24"/>
          <w:szCs w:val="24"/>
        </w:rPr>
        <w:t xml:space="preserve">. </w:t>
      </w:r>
    </w:p>
    <w:p w:rsidR="00944171" w:rsidRPr="002F1D45" w:rsidRDefault="00944171" w:rsidP="00944171">
      <w:pPr>
        <w:ind w:firstLine="708"/>
        <w:jc w:val="both"/>
      </w:pPr>
    </w:p>
    <w:p w:rsidR="00944171" w:rsidRPr="00812A21" w:rsidRDefault="005347D5" w:rsidP="00944171">
      <w:pPr>
        <w:pStyle w:val="SemEspaamento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44171" w:rsidRPr="002F1D45">
        <w:rPr>
          <w:rFonts w:ascii="Times New Roman" w:hAnsi="Times New Roman"/>
          <w:sz w:val="24"/>
          <w:szCs w:val="24"/>
        </w:rPr>
        <w:t xml:space="preserve"> farinha de </w:t>
      </w:r>
      <w:r w:rsidR="00665233">
        <w:rPr>
          <w:rFonts w:ascii="Times New Roman" w:hAnsi="Times New Roman"/>
          <w:sz w:val="24"/>
          <w:szCs w:val="24"/>
        </w:rPr>
        <w:t xml:space="preserve">bagaço de </w:t>
      </w:r>
      <w:r w:rsidR="00944171" w:rsidRPr="002F1D45">
        <w:rPr>
          <w:rFonts w:ascii="Times New Roman" w:hAnsi="Times New Roman"/>
          <w:sz w:val="24"/>
          <w:szCs w:val="24"/>
        </w:rPr>
        <w:t xml:space="preserve">maçã pode ser considerada um potencial ingrediente para a adição em </w:t>
      </w:r>
      <w:r w:rsidR="00944171" w:rsidRPr="00812A21">
        <w:rPr>
          <w:rFonts w:ascii="Times New Roman" w:hAnsi="Times New Roman"/>
          <w:sz w:val="24"/>
          <w:szCs w:val="24"/>
        </w:rPr>
        <w:t xml:space="preserve">biscoitos e similares, </w:t>
      </w:r>
      <w:r w:rsidR="00DE0557">
        <w:rPr>
          <w:rFonts w:ascii="Times New Roman" w:hAnsi="Times New Roman"/>
          <w:sz w:val="24"/>
          <w:szCs w:val="24"/>
        </w:rPr>
        <w:t>tendo possibilidade de</w:t>
      </w:r>
      <w:r w:rsidR="00944171" w:rsidRPr="00812A21">
        <w:rPr>
          <w:rFonts w:ascii="Times New Roman" w:hAnsi="Times New Roman"/>
          <w:sz w:val="24"/>
          <w:szCs w:val="24"/>
        </w:rPr>
        <w:t xml:space="preserve"> ser</w:t>
      </w:r>
      <w:r w:rsidR="00222C1B">
        <w:rPr>
          <w:rFonts w:ascii="Times New Roman" w:hAnsi="Times New Roman"/>
          <w:sz w:val="24"/>
          <w:szCs w:val="24"/>
        </w:rPr>
        <w:t>em</w:t>
      </w:r>
      <w:r w:rsidR="00944171" w:rsidRPr="00812A21">
        <w:rPr>
          <w:rFonts w:ascii="Times New Roman" w:hAnsi="Times New Roman"/>
          <w:sz w:val="24"/>
          <w:szCs w:val="24"/>
        </w:rPr>
        <w:t xml:space="preserve"> oferecido</w:t>
      </w:r>
      <w:r w:rsidR="00652586" w:rsidRPr="00812A21">
        <w:rPr>
          <w:rFonts w:ascii="Times New Roman" w:hAnsi="Times New Roman"/>
          <w:sz w:val="24"/>
          <w:szCs w:val="24"/>
        </w:rPr>
        <w:t>s</w:t>
      </w:r>
      <w:r w:rsidR="00944171" w:rsidRPr="00812A21">
        <w:rPr>
          <w:rFonts w:ascii="Times New Roman" w:hAnsi="Times New Roman"/>
          <w:sz w:val="24"/>
          <w:szCs w:val="24"/>
        </w:rPr>
        <w:t xml:space="preserve"> aos consumidores com boas expectativas de aceitação no mercado.</w:t>
      </w:r>
    </w:p>
    <w:p w:rsidR="00E76AAB" w:rsidRPr="00812A21" w:rsidRDefault="00E76AAB" w:rsidP="00944171">
      <w:pPr>
        <w:pStyle w:val="SemEspaamento2"/>
        <w:jc w:val="both"/>
        <w:rPr>
          <w:rFonts w:ascii="Times New Roman" w:hAnsi="Times New Roman"/>
          <w:sz w:val="24"/>
          <w:szCs w:val="24"/>
        </w:rPr>
      </w:pPr>
    </w:p>
    <w:p w:rsidR="005C1E0E" w:rsidRPr="00812A21" w:rsidRDefault="005C1E0E" w:rsidP="00944171">
      <w:pPr>
        <w:pStyle w:val="SemEspaamento2"/>
        <w:jc w:val="both"/>
        <w:rPr>
          <w:rFonts w:ascii="Times New Roman" w:hAnsi="Times New Roman"/>
          <w:sz w:val="24"/>
          <w:szCs w:val="24"/>
        </w:rPr>
      </w:pPr>
    </w:p>
    <w:p w:rsidR="00EE6F8E" w:rsidRPr="00812A21" w:rsidRDefault="00EE6F8E" w:rsidP="00EE6F8E">
      <w:pPr>
        <w:pStyle w:val="Ttulo2"/>
        <w:spacing w:before="0" w:after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12A21">
        <w:rPr>
          <w:rFonts w:ascii="Times New Roman" w:hAnsi="Times New Roman" w:cs="Times New Roman"/>
          <w:i w:val="0"/>
          <w:sz w:val="24"/>
          <w:szCs w:val="24"/>
        </w:rPr>
        <w:t>REFERÊNCIAS BIBLIOGRÁFICAS</w:t>
      </w:r>
    </w:p>
    <w:p w:rsidR="00F37552" w:rsidRPr="00812A21" w:rsidRDefault="00F37552" w:rsidP="00F37552"/>
    <w:p w:rsidR="003A7D0A" w:rsidRPr="00812A21" w:rsidRDefault="003A7D0A" w:rsidP="003443E3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rPr>
          <w:bCs/>
        </w:rPr>
        <w:t xml:space="preserve">BARBOSA, M.C.A. </w:t>
      </w:r>
      <w:r w:rsidRPr="00B92337">
        <w:rPr>
          <w:bCs/>
          <w:i/>
        </w:rPr>
        <w:t>Avaliação tecnológica de massas alimentícias de farinha mista de trigo e soja sem lipoxigenases</w:t>
      </w:r>
      <w:r w:rsidRPr="00812A21">
        <w:rPr>
          <w:bCs/>
        </w:rPr>
        <w:t>. Minas Gerais, 2002. Tese de doutorado-Universidade Federal de Viçosa.</w:t>
      </w:r>
    </w:p>
    <w:p w:rsidR="003A7D0A" w:rsidRPr="00812A21" w:rsidRDefault="003A7D0A" w:rsidP="003443E3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rPr>
          <w:bCs/>
        </w:rPr>
        <w:t xml:space="preserve">BORGES, S.V.; BONILHA, C.C.; MANCINI, M.C. </w:t>
      </w:r>
      <w:r w:rsidRPr="00812A21">
        <w:t>Sementes de jaca (</w:t>
      </w:r>
      <w:r w:rsidRPr="00812A21">
        <w:rPr>
          <w:i/>
        </w:rPr>
        <w:t>artocapus integrifólia</w:t>
      </w:r>
      <w:r w:rsidRPr="00812A21">
        <w:t>) e de abóbora (</w:t>
      </w:r>
      <w:r w:rsidRPr="00812A21">
        <w:rPr>
          <w:i/>
        </w:rPr>
        <w:t>curcubita moschata</w:t>
      </w:r>
      <w:r w:rsidRPr="00812A21">
        <w:t xml:space="preserve">) desidratadas em diferentes temperaturas e utilizadas como ingredientes em biscoitos tipo cookie. </w:t>
      </w:r>
      <w:r w:rsidRPr="00812A21">
        <w:rPr>
          <w:bCs/>
          <w:i/>
        </w:rPr>
        <w:t>Alimentos e Nutrição</w:t>
      </w:r>
      <w:r w:rsidRPr="00812A21">
        <w:rPr>
          <w:i/>
        </w:rPr>
        <w:t xml:space="preserve">, </w:t>
      </w:r>
      <w:r w:rsidRPr="00812A21">
        <w:t>v.17, n.3, p.317-321, 2006.</w:t>
      </w:r>
    </w:p>
    <w:p w:rsidR="003A7D0A" w:rsidRPr="00812A21" w:rsidRDefault="003A7D0A" w:rsidP="003443E3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t xml:space="preserve">BRASIL. ANVISA – Agência Nacional de Vigilância Sanitária. </w:t>
      </w:r>
      <w:r w:rsidRPr="00812A21">
        <w:rPr>
          <w:bCs/>
          <w:i/>
        </w:rPr>
        <w:t>Portaria nº 27</w:t>
      </w:r>
      <w:r w:rsidRPr="00812A21">
        <w:rPr>
          <w:bCs/>
        </w:rPr>
        <w:t xml:space="preserve"> de 13/01/1998 – Regulamento Técnico Referente à Informação Nutricional Complementar</w:t>
      </w:r>
      <w:r w:rsidRPr="00812A21">
        <w:t xml:space="preserve">. Disponível em: </w:t>
      </w:r>
      <w:hyperlink r:id="rId18" w:history="1">
        <w:r w:rsidRPr="00812A21">
          <w:rPr>
            <w:rStyle w:val="Hyperlink"/>
          </w:rPr>
          <w:t>http://www.cidasc.sc.gov.br/inspecao/files/2012/08/ portaria-27_1998.pdf</w:t>
        </w:r>
      </w:hyperlink>
      <w:r w:rsidRPr="00812A21">
        <w:rPr>
          <w:color w:val="0000FF"/>
        </w:rPr>
        <w:t xml:space="preserve">. </w:t>
      </w:r>
      <w:r w:rsidRPr="00812A21">
        <w:t>Acesso em: 05 de dezembro de 2013.</w:t>
      </w:r>
    </w:p>
    <w:p w:rsidR="003A7D0A" w:rsidRPr="00812A21" w:rsidRDefault="003A7D0A" w:rsidP="00775BE0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t xml:space="preserve">COELHO, L.M; WOSIACKI, G. </w:t>
      </w:r>
      <w:r w:rsidRPr="00812A21">
        <w:rPr>
          <w:bCs/>
          <w:color w:val="000000"/>
        </w:rPr>
        <w:t xml:space="preserve">Avaliação sensorial de produtos panificados com adição de farinha de bagaço de maçã. </w:t>
      </w:r>
      <w:r w:rsidRPr="00812A21">
        <w:rPr>
          <w:i/>
          <w:color w:val="000000"/>
        </w:rPr>
        <w:t>Ciência e Tecnologia de Alimentos</w:t>
      </w:r>
      <w:r w:rsidRPr="00812A21">
        <w:rPr>
          <w:color w:val="000000"/>
        </w:rPr>
        <w:t xml:space="preserve">, v.30, n.3, p.582-588, 2010. </w:t>
      </w:r>
    </w:p>
    <w:p w:rsidR="003A7D0A" w:rsidRPr="00812A21" w:rsidRDefault="003A7D0A" w:rsidP="003443E3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t xml:space="preserve">CÓRDOVA, K.R.V. </w:t>
      </w:r>
      <w:r w:rsidRPr="00B92337">
        <w:rPr>
          <w:i/>
        </w:rPr>
        <w:t>Desidratação osmótica e secagem convectiva de maçã Fuji comercial e industrial</w:t>
      </w:r>
      <w:r w:rsidRPr="00812A21">
        <w:t xml:space="preserve">. </w:t>
      </w:r>
      <w:r w:rsidRPr="00812A21">
        <w:rPr>
          <w:bCs/>
        </w:rPr>
        <w:t xml:space="preserve">Curitiba, 2006. </w:t>
      </w:r>
      <w:r w:rsidRPr="00812A21">
        <w:t>Dissertação de mestrado-Universidade Federal do Paraná, 2006.</w:t>
      </w:r>
    </w:p>
    <w:p w:rsidR="003A7D0A" w:rsidRPr="00812A21" w:rsidRDefault="003A7D0A" w:rsidP="003443E3">
      <w:pPr>
        <w:pStyle w:val="SemEspaamento"/>
        <w:numPr>
          <w:ilvl w:val="0"/>
          <w:numId w:val="6"/>
        </w:numPr>
        <w:tabs>
          <w:tab w:val="left" w:pos="284"/>
          <w:tab w:val="left" w:pos="426"/>
        </w:tabs>
        <w:ind w:left="340"/>
        <w:jc w:val="both"/>
        <w:rPr>
          <w:rFonts w:ascii="Times New Roman" w:hAnsi="Times New Roman"/>
          <w:sz w:val="24"/>
          <w:szCs w:val="24"/>
          <w:lang w:val="en-US"/>
        </w:rPr>
      </w:pPr>
      <w:r w:rsidRPr="00812A21">
        <w:rPr>
          <w:rFonts w:ascii="Times New Roman" w:hAnsi="Times New Roman"/>
          <w:sz w:val="24"/>
          <w:szCs w:val="24"/>
          <w:lang w:val="en-US"/>
        </w:rPr>
        <w:t xml:space="preserve"> DIETARY REFERENCE INTAKES (DRI). </w:t>
      </w:r>
      <w:r w:rsidRPr="00812A21">
        <w:rPr>
          <w:rFonts w:ascii="Times New Roman" w:hAnsi="Times New Roman"/>
          <w:bCs/>
          <w:i/>
          <w:sz w:val="24"/>
          <w:szCs w:val="24"/>
          <w:lang w:val="en-US"/>
        </w:rPr>
        <w:t>Dietary Reference Intakes for energy, carbohydrate, fiber, fat, fatty acids, cholesterol, protein and amino acids</w:t>
      </w:r>
      <w:r w:rsidRPr="00812A21">
        <w:rPr>
          <w:rFonts w:ascii="Times New Roman" w:hAnsi="Times New Roman"/>
          <w:sz w:val="24"/>
          <w:szCs w:val="24"/>
          <w:lang w:val="en-US"/>
        </w:rPr>
        <w:t>. Washington: The National Academies Press, 2005. 1331p.</w:t>
      </w:r>
    </w:p>
    <w:p w:rsidR="003A7D0A" w:rsidRPr="00812A21" w:rsidRDefault="003A7D0A" w:rsidP="003443E3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A21">
        <w:rPr>
          <w:rFonts w:ascii="Times New Roman" w:hAnsi="Times New Roman"/>
          <w:sz w:val="24"/>
          <w:szCs w:val="24"/>
        </w:rPr>
        <w:t xml:space="preserve"> DUTCOSKY, S.D. </w:t>
      </w:r>
      <w:r w:rsidRPr="00812A21">
        <w:rPr>
          <w:rFonts w:ascii="Times New Roman" w:hAnsi="Times New Roman"/>
          <w:i/>
          <w:sz w:val="24"/>
          <w:szCs w:val="24"/>
        </w:rPr>
        <w:t>Análise sensorial de alimentos</w:t>
      </w:r>
      <w:r w:rsidRPr="00812A21">
        <w:rPr>
          <w:rFonts w:ascii="Times New Roman" w:hAnsi="Times New Roman"/>
          <w:sz w:val="24"/>
          <w:szCs w:val="24"/>
        </w:rPr>
        <w:t xml:space="preserve">. 3. ed. Curitiba: Champagnat, 2011. 427p.      </w:t>
      </w:r>
    </w:p>
    <w:p w:rsidR="003A7D0A" w:rsidRPr="00812A21" w:rsidRDefault="003A7D0A" w:rsidP="003443E3">
      <w:pPr>
        <w:numPr>
          <w:ilvl w:val="0"/>
          <w:numId w:val="6"/>
        </w:numPr>
        <w:tabs>
          <w:tab w:val="clear" w:pos="360"/>
          <w:tab w:val="left" w:pos="284"/>
          <w:tab w:val="num" w:pos="426"/>
          <w:tab w:val="left" w:pos="567"/>
        </w:tabs>
        <w:ind w:left="340" w:hanging="340"/>
        <w:jc w:val="both"/>
      </w:pPr>
      <w:r w:rsidRPr="00812A21">
        <w:t xml:space="preserve"> EMBRAPA - Empresa Brasileira de Pesquisa Agropecuária. </w:t>
      </w:r>
      <w:r w:rsidR="00B92337" w:rsidRPr="00B92337">
        <w:rPr>
          <w:i/>
        </w:rPr>
        <w:t>Produção Integrada de Maçãs no Brasil</w:t>
      </w:r>
      <w:r w:rsidR="00B92337">
        <w:t>.</w:t>
      </w:r>
      <w:r w:rsidR="00B92337" w:rsidRPr="00B92337">
        <w:t xml:space="preserve"> </w:t>
      </w:r>
      <w:r w:rsidRPr="00812A21">
        <w:t xml:space="preserve">Disponível em: </w:t>
      </w:r>
      <w:hyperlink r:id="rId19" w:history="1">
        <w:r w:rsidRPr="00812A21">
          <w:rPr>
            <w:rStyle w:val="Hyperlink"/>
          </w:rPr>
          <w:t>http://sistemasdeproducao.cnptia.embrapa.br/</w:t>
        </w:r>
        <w:r w:rsidR="00B92337">
          <w:rPr>
            <w:rStyle w:val="Hyperlink"/>
          </w:rPr>
          <w:t xml:space="preserve"> </w:t>
        </w:r>
        <w:r w:rsidRPr="00812A21">
          <w:rPr>
            <w:rStyle w:val="Hyperlink"/>
          </w:rPr>
          <w:t>FontesHTML/Maca/ProducaoIntegradaMaca/</w:t>
        </w:r>
      </w:hyperlink>
      <w:r w:rsidRPr="00812A21">
        <w:rPr>
          <w:color w:val="0000FF"/>
        </w:rPr>
        <w:t xml:space="preserve"> </w:t>
      </w:r>
      <w:r w:rsidRPr="00812A21">
        <w:t>Acesso em: 01 de fevereiro de 2011.</w:t>
      </w:r>
    </w:p>
    <w:p w:rsidR="003A7D0A" w:rsidRPr="00812A21" w:rsidRDefault="003A7D0A" w:rsidP="003443E3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t xml:space="preserve">FASOLIN, L.H.; ALMEIDA, G.C.; CASTANHO, P.S.; NETTO-OLIVEIRA, E.R. Biscoitos produzidos com farinha de banana: avaliações química, física e sensorial. </w:t>
      </w:r>
      <w:r w:rsidRPr="00812A21">
        <w:rPr>
          <w:i/>
        </w:rPr>
        <w:t>Ciência e Tecnologia de Alimentos,</w:t>
      </w:r>
      <w:r w:rsidRPr="00812A21">
        <w:t xml:space="preserve"> v.27, n.3, p.524-529, 2007.</w:t>
      </w:r>
    </w:p>
    <w:p w:rsidR="003A7D0A" w:rsidRPr="00812A21" w:rsidRDefault="003A7D0A" w:rsidP="00C31E81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  <w:rPr>
          <w:lang w:val="en-US"/>
        </w:rPr>
      </w:pPr>
      <w:r w:rsidRPr="00812A21">
        <w:rPr>
          <w:lang w:val="en-US"/>
        </w:rPr>
        <w:t xml:space="preserve">GARAU, M.C.; SIMAL, S.; ROSSELLO, C.; FEMENIA, A. </w:t>
      </w:r>
      <w:r w:rsidRPr="00812A21">
        <w:rPr>
          <w:rStyle w:val="abscitationtitle"/>
          <w:lang w:val="en-US"/>
        </w:rPr>
        <w:t>Effect of air-drying temperature on physico-chemical properties of dietary fibre and antioxidant capacity of orange (</w:t>
      </w:r>
      <w:r w:rsidRPr="00812A21">
        <w:rPr>
          <w:rStyle w:val="abscitationtitle"/>
          <w:i/>
          <w:lang w:val="en-US"/>
        </w:rPr>
        <w:t>Citrus aurantium v. Canoneta</w:t>
      </w:r>
      <w:r w:rsidRPr="00812A21">
        <w:rPr>
          <w:rStyle w:val="abscitationtitle"/>
          <w:lang w:val="en-US"/>
        </w:rPr>
        <w:t>) by-products.</w:t>
      </w:r>
      <w:r w:rsidRPr="00812A21">
        <w:rPr>
          <w:lang w:val="en-US"/>
        </w:rPr>
        <w:t xml:space="preserve"> </w:t>
      </w:r>
      <w:r w:rsidRPr="00812A21">
        <w:rPr>
          <w:i/>
          <w:lang w:val="en-US"/>
        </w:rPr>
        <w:t>Food Chemistry,</w:t>
      </w:r>
      <w:r w:rsidRPr="00812A21">
        <w:rPr>
          <w:lang w:val="en-US"/>
        </w:rPr>
        <w:t xml:space="preserve"> v.104, n.3, p.1014-1024, 2007.</w:t>
      </w:r>
    </w:p>
    <w:p w:rsidR="003A7D0A" w:rsidRPr="00812A21" w:rsidRDefault="003A7D0A" w:rsidP="00C31E81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  <w:rPr>
          <w:lang w:val="en-US"/>
        </w:rPr>
      </w:pPr>
      <w:r w:rsidRPr="00812A21">
        <w:rPr>
          <w:lang w:val="en-US"/>
        </w:rPr>
        <w:lastRenderedPageBreak/>
        <w:t xml:space="preserve">KOHAJDOVÁ, Z.; KAROVICOVÁ, J.; JURASOVÁ, M.; KUKUROVÁ, K. </w:t>
      </w:r>
      <w:r w:rsidRPr="00812A21">
        <w:rPr>
          <w:bCs/>
          <w:lang w:val="en-US"/>
        </w:rPr>
        <w:t xml:space="preserve">Effect of the addition of commercial apple fibre powder on the baking and sensory properties of cookies. </w:t>
      </w:r>
      <w:r w:rsidRPr="00812A21">
        <w:rPr>
          <w:i/>
          <w:iCs/>
          <w:lang w:val="en-US"/>
        </w:rPr>
        <w:t>Acta Chimica Slovaca</w:t>
      </w:r>
      <w:r w:rsidRPr="00812A21">
        <w:rPr>
          <w:iCs/>
          <w:lang w:val="en-US"/>
        </w:rPr>
        <w:t xml:space="preserve">, v.4, n.2, p.88-97, 2011. </w:t>
      </w:r>
    </w:p>
    <w:p w:rsidR="003A7D0A" w:rsidRPr="00812A21" w:rsidRDefault="003A7D0A" w:rsidP="00C31E81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  <w:rPr>
          <w:lang w:val="en-US"/>
        </w:rPr>
      </w:pPr>
      <w:r w:rsidRPr="00812A21">
        <w:rPr>
          <w:iCs/>
          <w:lang w:val="en-US"/>
        </w:rPr>
        <w:t xml:space="preserve">MATIAS, M.F.; OLIVEIRA, E.L.; GERTRUDES, E.; MAGALHÃES, M.M.A. </w:t>
      </w:r>
      <w:r w:rsidRPr="00812A21">
        <w:rPr>
          <w:bCs/>
          <w:lang w:val="en-US"/>
        </w:rPr>
        <w:t>Use of Fibres Obtained from the Cashew (A</w:t>
      </w:r>
      <w:r w:rsidRPr="00812A21">
        <w:rPr>
          <w:bCs/>
          <w:i/>
          <w:iCs/>
          <w:lang w:val="en-US"/>
        </w:rPr>
        <w:t xml:space="preserve">nacardium ocidentale, L) </w:t>
      </w:r>
      <w:r w:rsidRPr="00812A21">
        <w:rPr>
          <w:bCs/>
          <w:lang w:val="en-US"/>
        </w:rPr>
        <w:t>and Guava (</w:t>
      </w:r>
      <w:r w:rsidRPr="00812A21">
        <w:rPr>
          <w:bCs/>
          <w:i/>
          <w:lang w:val="en-US"/>
        </w:rPr>
        <w:t>P</w:t>
      </w:r>
      <w:r w:rsidRPr="00812A21">
        <w:rPr>
          <w:bCs/>
          <w:i/>
          <w:iCs/>
          <w:lang w:val="en-US"/>
        </w:rPr>
        <w:t xml:space="preserve">sidium guayava) </w:t>
      </w:r>
      <w:r w:rsidRPr="00812A21">
        <w:rPr>
          <w:bCs/>
          <w:lang w:val="en-US"/>
        </w:rPr>
        <w:t>Fruits for</w:t>
      </w:r>
      <w:r w:rsidRPr="00812A21">
        <w:rPr>
          <w:bCs/>
          <w:i/>
          <w:iCs/>
          <w:lang w:val="en-US"/>
        </w:rPr>
        <w:t xml:space="preserve"> </w:t>
      </w:r>
      <w:r w:rsidRPr="00812A21">
        <w:rPr>
          <w:bCs/>
          <w:lang w:val="en-US"/>
        </w:rPr>
        <w:t xml:space="preserve">Enrichment of Food Products. </w:t>
      </w:r>
      <w:r w:rsidRPr="00812A21">
        <w:rPr>
          <w:i/>
          <w:lang w:val="en-US"/>
        </w:rPr>
        <w:t>Brazilian Archives of Biology and Technology,</w:t>
      </w:r>
      <w:r w:rsidRPr="00812A21">
        <w:rPr>
          <w:lang w:val="en-US"/>
        </w:rPr>
        <w:t xml:space="preserve"> v.48, </w:t>
      </w:r>
      <w:r w:rsidRPr="00812A21">
        <w:rPr>
          <w:iCs/>
          <w:lang w:val="en-US"/>
        </w:rPr>
        <w:t xml:space="preserve">n., p.143-150, </w:t>
      </w:r>
      <w:r w:rsidRPr="00812A21">
        <w:rPr>
          <w:lang w:val="en-US"/>
        </w:rPr>
        <w:t>2005.</w:t>
      </w:r>
    </w:p>
    <w:p w:rsidR="003A7D0A" w:rsidRPr="00812A21" w:rsidRDefault="003A7D0A" w:rsidP="00C31E81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  <w:rPr>
          <w:lang w:val="en-US"/>
        </w:rPr>
      </w:pPr>
      <w:r w:rsidRPr="00812A21">
        <w:t xml:space="preserve">MONTEIRO, C.L.B. </w:t>
      </w:r>
      <w:r w:rsidRPr="00812A21">
        <w:rPr>
          <w:bCs/>
          <w:i/>
        </w:rPr>
        <w:t>Técnicas de avaliação sensorial</w:t>
      </w:r>
      <w:r w:rsidRPr="00812A21">
        <w:t xml:space="preserve">. </w:t>
      </w:r>
      <w:r w:rsidRPr="00812A21">
        <w:rPr>
          <w:lang w:val="it-IT"/>
        </w:rPr>
        <w:t>2 ed. Curitiba: CEPPA-UFPR, 1984. 101p.</w:t>
      </w:r>
      <w:r w:rsidRPr="00812A21">
        <w:rPr>
          <w:vanish/>
          <w:color w:val="555555"/>
          <w:sz w:val="12"/>
          <w:szCs w:val="12"/>
          <w:lang w:val="en-US"/>
        </w:rPr>
        <w:t xml:space="preserve">Find all citations in this </w:t>
      </w:r>
      <w:r w:rsidRPr="00812A21">
        <w:rPr>
          <w:bCs/>
          <w:vanish/>
          <w:color w:val="555555"/>
          <w:sz w:val="12"/>
          <w:szCs w:val="12"/>
          <w:lang w:val="en-US"/>
        </w:rPr>
        <w:t>journal</w:t>
      </w:r>
      <w:r w:rsidRPr="00812A21">
        <w:rPr>
          <w:vanish/>
          <w:color w:val="555555"/>
          <w:sz w:val="12"/>
          <w:szCs w:val="12"/>
          <w:lang w:val="en-US"/>
        </w:rPr>
        <w:t xml:space="preserve"> (default).Or</w:t>
      </w:r>
      <w:hyperlink r:id="rId20" w:history="1">
        <w:r w:rsidRPr="00812A21">
          <w:rPr>
            <w:rStyle w:val="Hyperlink"/>
            <w:vanish/>
            <w:sz w:val="12"/>
            <w:szCs w:val="12"/>
            <w:lang w:val="en-US"/>
          </w:rPr>
          <w:t>filter your current search</w:t>
        </w:r>
      </w:hyperlink>
    </w:p>
    <w:p w:rsidR="003A7D0A" w:rsidRPr="00812A21" w:rsidRDefault="003A7D0A" w:rsidP="00C31E81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t xml:space="preserve">MORETTO, E; FETT, R. </w:t>
      </w:r>
      <w:r w:rsidRPr="00812A21">
        <w:rPr>
          <w:i/>
          <w:iCs/>
        </w:rPr>
        <w:t xml:space="preserve">Processamento e Análise de Biscoitos. </w:t>
      </w:r>
      <w:r w:rsidRPr="00812A21">
        <w:t>São Paulo: Varela, 1999. 97p.</w:t>
      </w:r>
    </w:p>
    <w:p w:rsidR="003A7D0A" w:rsidRPr="00812A21" w:rsidRDefault="003A7D0A" w:rsidP="00937AEC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t xml:space="preserve">MOURA, S.C.S.R.; BERBARI, S.A.; GERMER, S.P.M.; ALMEIDA, M.E.M.; FEFIM, D.A. Determinação de vida-de-prateleira de maçã-passa por testes acelerados. </w:t>
      </w:r>
      <w:r w:rsidRPr="00812A21">
        <w:rPr>
          <w:i/>
          <w:iCs/>
        </w:rPr>
        <w:t xml:space="preserve">Ciência e Tecnologia de Alimentos, </w:t>
      </w:r>
      <w:r w:rsidRPr="00812A21">
        <w:t>v.27, n.1, p.141-148, 2007.</w:t>
      </w:r>
    </w:p>
    <w:p w:rsidR="003A7D0A" w:rsidRPr="009A7655" w:rsidRDefault="003A7D0A" w:rsidP="00C31E81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rPr>
          <w:bCs/>
          <w:color w:val="000000"/>
        </w:rPr>
        <w:t xml:space="preserve">PROTZEK, E.C.; FREITAS, R.J.S.; WASCZYNSKJ, N. Aproveitamento do bagaço de maçã na elaboração de biscoitos ricos em fibra alimentar. </w:t>
      </w:r>
      <w:r w:rsidRPr="00812A21">
        <w:rPr>
          <w:bCs/>
          <w:i/>
          <w:color w:val="000000"/>
        </w:rPr>
        <w:t>Boletim do CEPPA,</w:t>
      </w:r>
      <w:r w:rsidRPr="00812A21">
        <w:rPr>
          <w:bCs/>
          <w:color w:val="000000"/>
        </w:rPr>
        <w:t xml:space="preserve"> v.16, n. 2, p.263-275, 1998</w:t>
      </w:r>
      <w:r w:rsidR="009A7655">
        <w:rPr>
          <w:bCs/>
          <w:color w:val="000000"/>
        </w:rPr>
        <w:t>a</w:t>
      </w:r>
      <w:r w:rsidRPr="00812A21">
        <w:rPr>
          <w:bCs/>
          <w:color w:val="000000"/>
        </w:rPr>
        <w:t xml:space="preserve">.  </w:t>
      </w:r>
    </w:p>
    <w:p w:rsidR="009A7655" w:rsidRPr="00812A21" w:rsidRDefault="009A7655" w:rsidP="009A7655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>
        <w:t xml:space="preserve">PROTZEK, E.C.; FREITAS, R.J.S.; WASCZYNSKJ, N. Incorporação de fibra do bagaço de maçã em pães de forma. In: LAJOLO, F.M.; MENEZES, E.W. (Ed.). </w:t>
      </w:r>
      <w:r w:rsidRPr="00B92337">
        <w:rPr>
          <w:i/>
        </w:rPr>
        <w:t>Temas en tecnología de alimentos</w:t>
      </w:r>
      <w:r>
        <w:t>. México: IPN, 1998b. p. 245-257.</w:t>
      </w:r>
    </w:p>
    <w:p w:rsidR="003A7D0A" w:rsidRPr="00812A21" w:rsidRDefault="003A7D0A" w:rsidP="00C31E81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t xml:space="preserve">SAYDELLES, B.M.; OLIVEIRA, V.R.; VIEIRA, V.B.; MARQUES, C.T.; ROSA, C.S. </w:t>
      </w:r>
      <w:r w:rsidRPr="00812A21">
        <w:rPr>
          <w:bCs/>
        </w:rPr>
        <w:t>Elaboração e análise sensorial de biscoito recheado enriquecido com fibras e com menor teor de gordura</w:t>
      </w:r>
      <w:r w:rsidRPr="00812A21">
        <w:rPr>
          <w:bCs/>
          <w:i/>
        </w:rPr>
        <w:t xml:space="preserve">. </w:t>
      </w:r>
      <w:r w:rsidRPr="00812A21">
        <w:rPr>
          <w:i/>
        </w:rPr>
        <w:t>Ciência Rural</w:t>
      </w:r>
      <w:r w:rsidRPr="00812A21">
        <w:t>, v.40, n.3, p.644-647, 2010.</w:t>
      </w:r>
    </w:p>
    <w:p w:rsidR="003A7D0A" w:rsidRPr="00812A21" w:rsidRDefault="003A7D0A" w:rsidP="00C31E81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  <w:rPr>
          <w:lang w:val="en-US"/>
        </w:rPr>
      </w:pPr>
      <w:r w:rsidRPr="00812A21">
        <w:rPr>
          <w:lang w:val="en-US"/>
        </w:rPr>
        <w:t xml:space="preserve">SUDHA, M.L.; BASKARAN, V.; LEELAVATHI, K. Apple pomace as a source of dietary fiber and polyphenols and its effect on the rheological characteristics and cake making. </w:t>
      </w:r>
      <w:r w:rsidRPr="00812A21">
        <w:rPr>
          <w:i/>
          <w:lang w:val="en-US"/>
        </w:rPr>
        <w:t>Food Chemistry,</w:t>
      </w:r>
      <w:r w:rsidRPr="00812A21">
        <w:rPr>
          <w:lang w:val="en-US"/>
        </w:rPr>
        <w:t>v.104, p.686–692, 2007.</w:t>
      </w:r>
    </w:p>
    <w:p w:rsidR="003A7D0A" w:rsidRPr="00812A21" w:rsidRDefault="003A7D0A" w:rsidP="005A0FFE">
      <w:pPr>
        <w:pStyle w:val="Default"/>
        <w:numPr>
          <w:ilvl w:val="0"/>
          <w:numId w:val="6"/>
        </w:numPr>
        <w:tabs>
          <w:tab w:val="left" w:pos="284"/>
          <w:tab w:val="left" w:pos="426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2A21">
        <w:rPr>
          <w:rFonts w:ascii="Times New Roman" w:hAnsi="Times New Roman" w:cs="Times New Roman"/>
        </w:rPr>
        <w:t xml:space="preserve">TACO- </w:t>
      </w:r>
      <w:r w:rsidRPr="00812A21">
        <w:rPr>
          <w:rFonts w:ascii="Times New Roman" w:hAnsi="Times New Roman" w:cs="Times New Roman"/>
          <w:bCs/>
        </w:rPr>
        <w:t>Tabela Brasileira de Composição dos Alimentos</w:t>
      </w:r>
      <w:r w:rsidRPr="00812A21">
        <w:rPr>
          <w:rFonts w:ascii="Times New Roman" w:hAnsi="Times New Roman" w:cs="Times New Roman"/>
        </w:rPr>
        <w:t xml:space="preserve">. 4ª ed. Revisada e ampliada. Campinas, SP: NEPA, 2011. 161p. </w:t>
      </w:r>
    </w:p>
    <w:p w:rsidR="003A7D0A" w:rsidRPr="00812A21" w:rsidRDefault="003A7D0A" w:rsidP="00C31E81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t xml:space="preserve">VASQUES, A.R.; BERTOLI, S.L.; VALLE, R.C.S.C.; VALLE, J.A.B. </w:t>
      </w:r>
      <w:r w:rsidRPr="00812A21">
        <w:rPr>
          <w:bCs/>
        </w:rPr>
        <w:t>Avaliação sensorial e determinação de vida-de-prateleira de maçãs desidratadas.</w:t>
      </w:r>
      <w:r w:rsidRPr="00812A21">
        <w:rPr>
          <w:rFonts w:eastAsia="Calibri"/>
        </w:rPr>
        <w:t xml:space="preserve"> </w:t>
      </w:r>
      <w:r w:rsidRPr="00812A21">
        <w:rPr>
          <w:rFonts w:eastAsia="Calibri"/>
          <w:i/>
        </w:rPr>
        <w:t>Ciência e Tecnologia de Alimentos,</w:t>
      </w:r>
      <w:r w:rsidRPr="00812A21">
        <w:rPr>
          <w:rFonts w:eastAsia="Calibri"/>
        </w:rPr>
        <w:t xml:space="preserve"> v.26, n.4, p.759-765, 2006. </w:t>
      </w:r>
    </w:p>
    <w:p w:rsidR="003A7D0A" w:rsidRPr="00812A21" w:rsidRDefault="003A7D0A" w:rsidP="003C094A">
      <w:pPr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left="340" w:hanging="340"/>
        <w:jc w:val="both"/>
      </w:pPr>
      <w:r w:rsidRPr="00812A21">
        <w:rPr>
          <w:rFonts w:eastAsia="Calibri"/>
        </w:rPr>
        <w:t xml:space="preserve">VIEIRA, C.F.S.; MARTINS, G.A.S.; BORGES, S.V.; CARNEIRO, J.D.S.; REGES, I.S. </w:t>
      </w:r>
      <w:r w:rsidRPr="00812A21">
        <w:rPr>
          <w:bCs/>
        </w:rPr>
        <w:t xml:space="preserve">Utilização de farinha de casca de maracujá amarelo em bolo. </w:t>
      </w:r>
      <w:r w:rsidRPr="00812A21">
        <w:rPr>
          <w:i/>
        </w:rPr>
        <w:t xml:space="preserve">Enciclopédia biosfera, </w:t>
      </w:r>
      <w:r w:rsidRPr="00812A21">
        <w:t>v.6, n.11, p.1-10, 2010.</w:t>
      </w:r>
      <w:r w:rsidRPr="00812A21">
        <w:rPr>
          <w:rFonts w:ascii="Minion Pro" w:hAnsi="Minion Pro" w:cs="Minion Pro"/>
          <w:color w:val="000000"/>
        </w:rPr>
        <w:t xml:space="preserve"> </w:t>
      </w:r>
    </w:p>
    <w:sectPr w:rsidR="003A7D0A" w:rsidRPr="00812A21" w:rsidSect="00770796">
      <w:headerReference w:type="default" r:id="rId21"/>
      <w:footerReference w:type="even" r:id="rId22"/>
      <w:footerReference w:type="default" r:id="rId23"/>
      <w:pgSz w:w="11906" w:h="16838" w:code="9"/>
      <w:pgMar w:top="1418" w:right="1418" w:bottom="1418" w:left="1701" w:header="964" w:footer="964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06" w:rsidRDefault="00347E06">
      <w:r>
        <w:separator/>
      </w:r>
    </w:p>
  </w:endnote>
  <w:endnote w:type="continuationSeparator" w:id="1">
    <w:p w:rsidR="00347E06" w:rsidRDefault="0034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ITC Lt BT">
    <w:altName w:val="BookmanITC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96" w:rsidRDefault="005C2271" w:rsidP="007707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0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0796" w:rsidRDefault="00770796" w:rsidP="0077079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96" w:rsidRPr="009A5CE1" w:rsidRDefault="00770796" w:rsidP="00770796">
    <w:pPr>
      <w:pStyle w:val="Rodap"/>
      <w:pBdr>
        <w:top w:val="thinThickSmallGap" w:sz="24" w:space="1" w:color="008000"/>
      </w:pBdr>
      <w:rPr>
        <w:i/>
        <w:sz w:val="22"/>
      </w:rPr>
    </w:pPr>
    <w:r>
      <w:rPr>
        <w:i/>
        <w:sz w:val="22"/>
        <w:szCs w:val="22"/>
      </w:rPr>
      <w:t xml:space="preserve">Revista Brasileira de Inovação Tecnológica em Saúde, </w:t>
    </w:r>
    <w:r w:rsidRPr="00B27381">
      <w:rPr>
        <w:i/>
        <w:sz w:val="22"/>
        <w:szCs w:val="22"/>
      </w:rPr>
      <w:t>On-Line</w:t>
    </w:r>
    <w:r>
      <w:rPr>
        <w:i/>
        <w:sz w:val="22"/>
        <w:szCs w:val="22"/>
      </w:rPr>
      <w:t xml:space="preserve">, Desde 2010. </w:t>
    </w:r>
    <w:r w:rsidRPr="00B27381">
      <w:rPr>
        <w:i/>
        <w:sz w:val="22"/>
        <w:szCs w:val="22"/>
      </w:rPr>
      <w:t xml:space="preserve">                    </w:t>
    </w:r>
    <w:r>
      <w:rPr>
        <w:i/>
        <w:sz w:val="22"/>
        <w:szCs w:val="22"/>
      </w:rPr>
      <w:t xml:space="preserve">            </w:t>
    </w:r>
    <w:r w:rsidR="005C2271" w:rsidRPr="009A5CE1">
      <w:rPr>
        <w:i/>
        <w:sz w:val="22"/>
      </w:rPr>
      <w:fldChar w:fldCharType="begin"/>
    </w:r>
    <w:r w:rsidRPr="009A5CE1">
      <w:rPr>
        <w:i/>
        <w:sz w:val="22"/>
      </w:rPr>
      <w:instrText xml:space="preserve"> PAGE   \* MERGEFORMAT </w:instrText>
    </w:r>
    <w:r w:rsidR="005C2271" w:rsidRPr="009A5CE1">
      <w:rPr>
        <w:i/>
        <w:sz w:val="22"/>
      </w:rPr>
      <w:fldChar w:fldCharType="separate"/>
    </w:r>
    <w:r w:rsidR="00391A84">
      <w:rPr>
        <w:i/>
        <w:noProof/>
        <w:sz w:val="22"/>
      </w:rPr>
      <w:t>4</w:t>
    </w:r>
    <w:r w:rsidR="005C2271" w:rsidRPr="009A5CE1">
      <w:rPr>
        <w:i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06" w:rsidRDefault="00347E06">
      <w:r>
        <w:separator/>
      </w:r>
    </w:p>
  </w:footnote>
  <w:footnote w:type="continuationSeparator" w:id="1">
    <w:p w:rsidR="00347E06" w:rsidRDefault="0034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96" w:rsidRPr="00CD6739" w:rsidRDefault="00CD6739" w:rsidP="00770796">
    <w:pPr>
      <w:pStyle w:val="Cabealho"/>
      <w:pBdr>
        <w:bottom w:val="thinThickSmallGap" w:sz="24" w:space="1" w:color="008000"/>
      </w:pBdr>
      <w:jc w:val="center"/>
      <w:rPr>
        <w:sz w:val="20"/>
      </w:rPr>
    </w:pPr>
    <w:r w:rsidRPr="00CD6739">
      <w:rPr>
        <w:i/>
        <w:caps/>
        <w:sz w:val="20"/>
        <w:szCs w:val="20"/>
      </w:rPr>
      <w:t xml:space="preserve">Dourado, tozatti, stoski, freitas, </w:t>
    </w:r>
    <w:r>
      <w:rPr>
        <w:i/>
        <w:caps/>
        <w:sz w:val="20"/>
        <w:szCs w:val="20"/>
      </w:rPr>
      <w:t>novello e</w:t>
    </w:r>
    <w:r w:rsidRPr="00CD6739">
      <w:rPr>
        <w:i/>
        <w:caps/>
        <w:sz w:val="20"/>
        <w:szCs w:val="20"/>
      </w:rPr>
      <w:t xml:space="preserve"> bezerra</w:t>
    </w:r>
    <w:r>
      <w:rPr>
        <w:i/>
        <w:caps/>
        <w:sz w:val="20"/>
        <w:szCs w:val="20"/>
      </w:rPr>
      <w:t xml:space="preserve"> (2014)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EC5C85"/>
    <w:multiLevelType w:val="hybridMultilevel"/>
    <w:tmpl w:val="47CCB1F4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C525B"/>
    <w:multiLevelType w:val="hybridMultilevel"/>
    <w:tmpl w:val="100C1442"/>
    <w:lvl w:ilvl="0" w:tplc="9CCE0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9F72D3"/>
    <w:multiLevelType w:val="hybridMultilevel"/>
    <w:tmpl w:val="7E96D76C"/>
    <w:lvl w:ilvl="0" w:tplc="FD02BE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6C64E7A"/>
    <w:multiLevelType w:val="multilevel"/>
    <w:tmpl w:val="DF160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62214D3C"/>
    <w:multiLevelType w:val="hybridMultilevel"/>
    <w:tmpl w:val="9AF88D7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E06"/>
    <w:rsid w:val="00024604"/>
    <w:rsid w:val="00027372"/>
    <w:rsid w:val="000405C5"/>
    <w:rsid w:val="00057ECD"/>
    <w:rsid w:val="00061DF2"/>
    <w:rsid w:val="000679C3"/>
    <w:rsid w:val="0007111A"/>
    <w:rsid w:val="0008503D"/>
    <w:rsid w:val="00092C9B"/>
    <w:rsid w:val="000970DA"/>
    <w:rsid w:val="000D65E7"/>
    <w:rsid w:val="000E1D8B"/>
    <w:rsid w:val="000E2B3F"/>
    <w:rsid w:val="000E454A"/>
    <w:rsid w:val="000E7CD3"/>
    <w:rsid w:val="00103BD9"/>
    <w:rsid w:val="001110D1"/>
    <w:rsid w:val="00111959"/>
    <w:rsid w:val="001125C1"/>
    <w:rsid w:val="00112DA6"/>
    <w:rsid w:val="00116FC3"/>
    <w:rsid w:val="00117EE0"/>
    <w:rsid w:val="00121C2E"/>
    <w:rsid w:val="001319FF"/>
    <w:rsid w:val="00136EE7"/>
    <w:rsid w:val="001379F4"/>
    <w:rsid w:val="00143ED2"/>
    <w:rsid w:val="001649B0"/>
    <w:rsid w:val="00176762"/>
    <w:rsid w:val="001E5B29"/>
    <w:rsid w:val="00222C1B"/>
    <w:rsid w:val="0022685A"/>
    <w:rsid w:val="00232C0E"/>
    <w:rsid w:val="00247A7E"/>
    <w:rsid w:val="0028525F"/>
    <w:rsid w:val="002855A6"/>
    <w:rsid w:val="0029029D"/>
    <w:rsid w:val="002B6B87"/>
    <w:rsid w:val="002C2E8B"/>
    <w:rsid w:val="002C4B7A"/>
    <w:rsid w:val="002D1245"/>
    <w:rsid w:val="002E3D44"/>
    <w:rsid w:val="002E3E06"/>
    <w:rsid w:val="003236D1"/>
    <w:rsid w:val="00336FE5"/>
    <w:rsid w:val="003443E3"/>
    <w:rsid w:val="00347E06"/>
    <w:rsid w:val="00350B31"/>
    <w:rsid w:val="003656AA"/>
    <w:rsid w:val="003756FA"/>
    <w:rsid w:val="003847AB"/>
    <w:rsid w:val="00391A84"/>
    <w:rsid w:val="003A47E4"/>
    <w:rsid w:val="003A7D0A"/>
    <w:rsid w:val="003B7E59"/>
    <w:rsid w:val="003C094A"/>
    <w:rsid w:val="003D2752"/>
    <w:rsid w:val="003F5A49"/>
    <w:rsid w:val="00401316"/>
    <w:rsid w:val="004021B1"/>
    <w:rsid w:val="004119C7"/>
    <w:rsid w:val="0042235B"/>
    <w:rsid w:val="00424897"/>
    <w:rsid w:val="0043601C"/>
    <w:rsid w:val="00441B48"/>
    <w:rsid w:val="00462E64"/>
    <w:rsid w:val="00465DCF"/>
    <w:rsid w:val="00467A88"/>
    <w:rsid w:val="0049403E"/>
    <w:rsid w:val="00497F5A"/>
    <w:rsid w:val="004B2291"/>
    <w:rsid w:val="004B2E73"/>
    <w:rsid w:val="004C3ABC"/>
    <w:rsid w:val="004C7D8D"/>
    <w:rsid w:val="004F15C7"/>
    <w:rsid w:val="004F3EA7"/>
    <w:rsid w:val="004F5F17"/>
    <w:rsid w:val="00507CB3"/>
    <w:rsid w:val="005215DD"/>
    <w:rsid w:val="0052286A"/>
    <w:rsid w:val="005347D5"/>
    <w:rsid w:val="005350A3"/>
    <w:rsid w:val="00543103"/>
    <w:rsid w:val="0054758C"/>
    <w:rsid w:val="005820F3"/>
    <w:rsid w:val="005A0FFE"/>
    <w:rsid w:val="005A2C23"/>
    <w:rsid w:val="005A6634"/>
    <w:rsid w:val="005C1E0E"/>
    <w:rsid w:val="005C2271"/>
    <w:rsid w:val="005D4F21"/>
    <w:rsid w:val="005E4C63"/>
    <w:rsid w:val="005E7304"/>
    <w:rsid w:val="00630A0C"/>
    <w:rsid w:val="00632CCE"/>
    <w:rsid w:val="00652586"/>
    <w:rsid w:val="00661F08"/>
    <w:rsid w:val="00663F5C"/>
    <w:rsid w:val="00665233"/>
    <w:rsid w:val="00665F7A"/>
    <w:rsid w:val="00672E0E"/>
    <w:rsid w:val="006A16DA"/>
    <w:rsid w:val="006B13CA"/>
    <w:rsid w:val="006B50B5"/>
    <w:rsid w:val="006C0096"/>
    <w:rsid w:val="006C67C8"/>
    <w:rsid w:val="006E5450"/>
    <w:rsid w:val="006E59C4"/>
    <w:rsid w:val="006F16EB"/>
    <w:rsid w:val="006F35E5"/>
    <w:rsid w:val="006F42C1"/>
    <w:rsid w:val="007014E5"/>
    <w:rsid w:val="00711AE1"/>
    <w:rsid w:val="00714AE3"/>
    <w:rsid w:val="007275E9"/>
    <w:rsid w:val="00735D4D"/>
    <w:rsid w:val="00740028"/>
    <w:rsid w:val="00755BB8"/>
    <w:rsid w:val="00761853"/>
    <w:rsid w:val="007702EA"/>
    <w:rsid w:val="00770796"/>
    <w:rsid w:val="00775BE0"/>
    <w:rsid w:val="00777033"/>
    <w:rsid w:val="00793789"/>
    <w:rsid w:val="007A455F"/>
    <w:rsid w:val="007A7359"/>
    <w:rsid w:val="007B1959"/>
    <w:rsid w:val="007B7B89"/>
    <w:rsid w:val="007C146C"/>
    <w:rsid w:val="007E17A1"/>
    <w:rsid w:val="007E5151"/>
    <w:rsid w:val="007F4FA9"/>
    <w:rsid w:val="007F6A40"/>
    <w:rsid w:val="00800BBC"/>
    <w:rsid w:val="008072D5"/>
    <w:rsid w:val="00812A21"/>
    <w:rsid w:val="008166BE"/>
    <w:rsid w:val="0083164B"/>
    <w:rsid w:val="00833673"/>
    <w:rsid w:val="0083456F"/>
    <w:rsid w:val="008419F3"/>
    <w:rsid w:val="00843AD4"/>
    <w:rsid w:val="0084665B"/>
    <w:rsid w:val="00852969"/>
    <w:rsid w:val="0085314D"/>
    <w:rsid w:val="008706FB"/>
    <w:rsid w:val="008854AE"/>
    <w:rsid w:val="008B3ED1"/>
    <w:rsid w:val="008B7A52"/>
    <w:rsid w:val="008D2E12"/>
    <w:rsid w:val="008E09D0"/>
    <w:rsid w:val="008E0F1B"/>
    <w:rsid w:val="008F6721"/>
    <w:rsid w:val="008F7A03"/>
    <w:rsid w:val="00901C57"/>
    <w:rsid w:val="00920F03"/>
    <w:rsid w:val="00937AEC"/>
    <w:rsid w:val="00937B81"/>
    <w:rsid w:val="00944171"/>
    <w:rsid w:val="00952E0A"/>
    <w:rsid w:val="00973B8F"/>
    <w:rsid w:val="00974DCD"/>
    <w:rsid w:val="009761E9"/>
    <w:rsid w:val="00980F4C"/>
    <w:rsid w:val="0098711F"/>
    <w:rsid w:val="0099183C"/>
    <w:rsid w:val="009A7655"/>
    <w:rsid w:val="009B1B6D"/>
    <w:rsid w:val="009B3CE6"/>
    <w:rsid w:val="009D0D8A"/>
    <w:rsid w:val="009E52CB"/>
    <w:rsid w:val="009E60CF"/>
    <w:rsid w:val="009F780B"/>
    <w:rsid w:val="00A02616"/>
    <w:rsid w:val="00A02A1B"/>
    <w:rsid w:val="00A05CC2"/>
    <w:rsid w:val="00A103EB"/>
    <w:rsid w:val="00A113E6"/>
    <w:rsid w:val="00A257C6"/>
    <w:rsid w:val="00A349AE"/>
    <w:rsid w:val="00A45BD9"/>
    <w:rsid w:val="00A55EAA"/>
    <w:rsid w:val="00A735C5"/>
    <w:rsid w:val="00A76802"/>
    <w:rsid w:val="00A84523"/>
    <w:rsid w:val="00AD28FC"/>
    <w:rsid w:val="00AF062B"/>
    <w:rsid w:val="00B03830"/>
    <w:rsid w:val="00B0412A"/>
    <w:rsid w:val="00B076CF"/>
    <w:rsid w:val="00B26A06"/>
    <w:rsid w:val="00B321CE"/>
    <w:rsid w:val="00B37BCD"/>
    <w:rsid w:val="00B55586"/>
    <w:rsid w:val="00B60DFF"/>
    <w:rsid w:val="00B75215"/>
    <w:rsid w:val="00B80212"/>
    <w:rsid w:val="00B813F6"/>
    <w:rsid w:val="00B82359"/>
    <w:rsid w:val="00B84AF7"/>
    <w:rsid w:val="00B92337"/>
    <w:rsid w:val="00BA42FB"/>
    <w:rsid w:val="00BB06B8"/>
    <w:rsid w:val="00BB1086"/>
    <w:rsid w:val="00BB3D01"/>
    <w:rsid w:val="00BB47AA"/>
    <w:rsid w:val="00BC2ECA"/>
    <w:rsid w:val="00BF2FCD"/>
    <w:rsid w:val="00C05B23"/>
    <w:rsid w:val="00C124B1"/>
    <w:rsid w:val="00C16C0A"/>
    <w:rsid w:val="00C201BA"/>
    <w:rsid w:val="00C230CB"/>
    <w:rsid w:val="00C24F9E"/>
    <w:rsid w:val="00C31E81"/>
    <w:rsid w:val="00C657BB"/>
    <w:rsid w:val="00C706AF"/>
    <w:rsid w:val="00C94174"/>
    <w:rsid w:val="00C96910"/>
    <w:rsid w:val="00CA1D97"/>
    <w:rsid w:val="00CB19BA"/>
    <w:rsid w:val="00CC6BDF"/>
    <w:rsid w:val="00CD66E0"/>
    <w:rsid w:val="00CD6739"/>
    <w:rsid w:val="00CE2B2B"/>
    <w:rsid w:val="00CF15EC"/>
    <w:rsid w:val="00D054B9"/>
    <w:rsid w:val="00D17D0F"/>
    <w:rsid w:val="00D36180"/>
    <w:rsid w:val="00D826C9"/>
    <w:rsid w:val="00D82FA4"/>
    <w:rsid w:val="00D852B3"/>
    <w:rsid w:val="00D96CF2"/>
    <w:rsid w:val="00DA7097"/>
    <w:rsid w:val="00DB39C2"/>
    <w:rsid w:val="00DB5FB8"/>
    <w:rsid w:val="00DB66AE"/>
    <w:rsid w:val="00DC0B9D"/>
    <w:rsid w:val="00DD35FC"/>
    <w:rsid w:val="00DE0557"/>
    <w:rsid w:val="00DE0AD2"/>
    <w:rsid w:val="00DE1009"/>
    <w:rsid w:val="00DE2900"/>
    <w:rsid w:val="00E1546B"/>
    <w:rsid w:val="00E21CDA"/>
    <w:rsid w:val="00E26281"/>
    <w:rsid w:val="00E31DE1"/>
    <w:rsid w:val="00E510E5"/>
    <w:rsid w:val="00E57FB8"/>
    <w:rsid w:val="00E76AAB"/>
    <w:rsid w:val="00E8662C"/>
    <w:rsid w:val="00EA685C"/>
    <w:rsid w:val="00EB15A1"/>
    <w:rsid w:val="00EC33D6"/>
    <w:rsid w:val="00EE38FC"/>
    <w:rsid w:val="00EE6E7D"/>
    <w:rsid w:val="00EE6F8E"/>
    <w:rsid w:val="00EF474B"/>
    <w:rsid w:val="00F00BC7"/>
    <w:rsid w:val="00F219ED"/>
    <w:rsid w:val="00F31971"/>
    <w:rsid w:val="00F37552"/>
    <w:rsid w:val="00F379E8"/>
    <w:rsid w:val="00F507CC"/>
    <w:rsid w:val="00F52CFC"/>
    <w:rsid w:val="00F61649"/>
    <w:rsid w:val="00F701A8"/>
    <w:rsid w:val="00F81881"/>
    <w:rsid w:val="00FA452A"/>
    <w:rsid w:val="00FB3410"/>
    <w:rsid w:val="00FC2B0F"/>
    <w:rsid w:val="00FD500D"/>
    <w:rsid w:val="00FE05FE"/>
    <w:rsid w:val="00FE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uiPriority="99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77033"/>
    <w:rPr>
      <w:sz w:val="24"/>
      <w:szCs w:val="24"/>
    </w:rPr>
  </w:style>
  <w:style w:type="paragraph" w:styleId="Ttulo1">
    <w:name w:val="heading 1"/>
    <w:basedOn w:val="Normal"/>
    <w:next w:val="Normal"/>
    <w:qFormat/>
    <w:rsid w:val="00777033"/>
    <w:pPr>
      <w:keepNext/>
      <w:ind w:firstLine="567"/>
      <w:jc w:val="center"/>
      <w:outlineLvl w:val="0"/>
    </w:pPr>
    <w:rPr>
      <w:b/>
      <w:bCs/>
      <w:snapToGrid w:val="0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har"/>
    <w:qFormat/>
    <w:rsid w:val="005361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777033"/>
    <w:rPr>
      <w:sz w:val="20"/>
      <w:szCs w:val="20"/>
    </w:rPr>
  </w:style>
  <w:style w:type="character" w:styleId="Refdenotaderodap">
    <w:name w:val="footnote reference"/>
    <w:basedOn w:val="Fontepargpadro"/>
    <w:semiHidden/>
    <w:rsid w:val="00777033"/>
    <w:rPr>
      <w:vertAlign w:val="superscript"/>
    </w:rPr>
  </w:style>
  <w:style w:type="paragraph" w:styleId="Recuodecorpodetexto2">
    <w:name w:val="Body Text Indent 2"/>
    <w:basedOn w:val="Normal"/>
    <w:rsid w:val="00777033"/>
    <w:pPr>
      <w:spacing w:line="360" w:lineRule="auto"/>
      <w:ind w:firstLine="567"/>
      <w:jc w:val="both"/>
    </w:pPr>
    <w:rPr>
      <w:lang w:eastAsia="es-ES"/>
    </w:rPr>
  </w:style>
  <w:style w:type="paragraph" w:styleId="Corpodetexto2">
    <w:name w:val="Body Text 2"/>
    <w:basedOn w:val="Normal"/>
    <w:rsid w:val="00777033"/>
    <w:pPr>
      <w:spacing w:line="360" w:lineRule="auto"/>
      <w:jc w:val="both"/>
    </w:pPr>
    <w:rPr>
      <w:szCs w:val="20"/>
      <w:lang w:eastAsia="es-ES"/>
    </w:rPr>
  </w:style>
  <w:style w:type="paragraph" w:styleId="Recuodecorpodetexto">
    <w:name w:val="Body Text Indent"/>
    <w:basedOn w:val="Normal"/>
    <w:rsid w:val="00777033"/>
    <w:pPr>
      <w:spacing w:line="360" w:lineRule="auto"/>
      <w:ind w:firstLine="709"/>
      <w:jc w:val="both"/>
    </w:pPr>
    <w:rPr>
      <w:lang w:eastAsia="es-ES"/>
    </w:rPr>
  </w:style>
  <w:style w:type="paragraph" w:styleId="Cabealho">
    <w:name w:val="header"/>
    <w:basedOn w:val="Normal"/>
    <w:rsid w:val="002E3E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7703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77033"/>
  </w:style>
  <w:style w:type="paragraph" w:styleId="Corpodetexto">
    <w:name w:val="Body Text"/>
    <w:basedOn w:val="Normal"/>
    <w:rsid w:val="00777033"/>
    <w:pPr>
      <w:spacing w:after="120"/>
    </w:pPr>
  </w:style>
  <w:style w:type="paragraph" w:styleId="Corpodetexto3">
    <w:name w:val="Body Text 3"/>
    <w:basedOn w:val="Normal"/>
    <w:rsid w:val="00777033"/>
    <w:pPr>
      <w:spacing w:after="120"/>
    </w:pPr>
    <w:rPr>
      <w:sz w:val="16"/>
      <w:szCs w:val="16"/>
    </w:rPr>
  </w:style>
  <w:style w:type="character" w:styleId="Hyperlink">
    <w:name w:val="Hyperlink"/>
    <w:basedOn w:val="Fontepargpadro"/>
    <w:rsid w:val="00777033"/>
    <w:rPr>
      <w:color w:val="0000FF"/>
      <w:u w:val="single"/>
    </w:rPr>
  </w:style>
  <w:style w:type="paragraph" w:styleId="Ttulo">
    <w:name w:val="Title"/>
    <w:basedOn w:val="Normal"/>
    <w:qFormat/>
    <w:rsid w:val="00777033"/>
    <w:pPr>
      <w:jc w:val="center"/>
    </w:pPr>
    <w:rPr>
      <w:b/>
      <w:bCs/>
      <w:lang w:eastAsia="es-ES"/>
    </w:rPr>
  </w:style>
  <w:style w:type="paragraph" w:styleId="Sumrio3">
    <w:name w:val="toc 3"/>
    <w:basedOn w:val="Sumrio1"/>
    <w:next w:val="Normal"/>
    <w:semiHidden/>
    <w:rsid w:val="0053613E"/>
    <w:pPr>
      <w:tabs>
        <w:tab w:val="right" w:leader="dot" w:pos="8669"/>
      </w:tabs>
      <w:spacing w:before="120" w:after="120"/>
    </w:pPr>
    <w:rPr>
      <w:caps/>
      <w:sz w:val="20"/>
      <w:szCs w:val="20"/>
    </w:rPr>
  </w:style>
  <w:style w:type="character" w:customStyle="1" w:styleId="Hiperlink">
    <w:name w:val="Hiperlink"/>
    <w:rsid w:val="0053613E"/>
    <w:rPr>
      <w:color w:val="0000FF"/>
      <w:u w:val="single"/>
    </w:rPr>
  </w:style>
  <w:style w:type="character" w:styleId="Forte">
    <w:name w:val="Strong"/>
    <w:basedOn w:val="Fontepargpadro"/>
    <w:qFormat/>
    <w:rsid w:val="0053613E"/>
    <w:rPr>
      <w:b/>
    </w:rPr>
  </w:style>
  <w:style w:type="paragraph" w:styleId="Sumrio1">
    <w:name w:val="toc 1"/>
    <w:basedOn w:val="Normal"/>
    <w:next w:val="Normal"/>
    <w:autoRedefine/>
    <w:semiHidden/>
    <w:rsid w:val="0053613E"/>
  </w:style>
  <w:style w:type="character" w:customStyle="1" w:styleId="RodapChar">
    <w:name w:val="Rodapé Char"/>
    <w:basedOn w:val="Fontepargpadro"/>
    <w:link w:val="Rodap"/>
    <w:uiPriority w:val="99"/>
    <w:rsid w:val="0007652E"/>
    <w:rPr>
      <w:sz w:val="24"/>
      <w:szCs w:val="24"/>
    </w:rPr>
  </w:style>
  <w:style w:type="paragraph" w:styleId="Textodebalo">
    <w:name w:val="Balloon Text"/>
    <w:basedOn w:val="Normal"/>
    <w:link w:val="TextodebaloChar"/>
    <w:rsid w:val="00076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652E"/>
    <w:rPr>
      <w:rFonts w:ascii="Tahoma" w:hAnsi="Tahoma" w:cs="Tahoma"/>
      <w:sz w:val="16"/>
      <w:szCs w:val="16"/>
    </w:rPr>
  </w:style>
  <w:style w:type="character" w:customStyle="1" w:styleId="blockemailnoname2">
    <w:name w:val="blockemailnoname2"/>
    <w:basedOn w:val="Fontepargpadro"/>
    <w:rsid w:val="00974DCD"/>
    <w:rPr>
      <w:color w:val="2A2A2A"/>
    </w:rPr>
  </w:style>
  <w:style w:type="paragraph" w:customStyle="1" w:styleId="Corpodetexto31">
    <w:name w:val="Corpo de texto 31"/>
    <w:basedOn w:val="Normal"/>
    <w:rsid w:val="00843AD4"/>
    <w:pPr>
      <w:widowControl w:val="0"/>
      <w:suppressAutoHyphens/>
      <w:overflowPunct w:val="0"/>
      <w:textAlignment w:val="baseline"/>
    </w:pPr>
    <w:rPr>
      <w:rFonts w:cs="Calibri"/>
      <w:color w:val="000000"/>
      <w:sz w:val="20"/>
      <w:lang w:eastAsia="ar-SA"/>
    </w:rPr>
  </w:style>
  <w:style w:type="paragraph" w:customStyle="1" w:styleId="SemEspaamento1">
    <w:name w:val="Sem Espaçamento1"/>
    <w:rsid w:val="00843AD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rsid w:val="00843AD4"/>
    <w:pPr>
      <w:suppressAutoHyphens/>
      <w:spacing w:before="280" w:after="280"/>
    </w:pPr>
    <w:rPr>
      <w:rFonts w:cs="Calibri"/>
      <w:sz w:val="23"/>
      <w:szCs w:val="23"/>
      <w:lang w:eastAsia="ar-SA"/>
    </w:rPr>
  </w:style>
  <w:style w:type="character" w:customStyle="1" w:styleId="mediumtext1">
    <w:name w:val="medium_text1"/>
    <w:basedOn w:val="Fontepargpadro"/>
    <w:rsid w:val="00843AD4"/>
    <w:rPr>
      <w:rFonts w:cs="Times New Roman"/>
      <w:sz w:val="18"/>
      <w:szCs w:val="18"/>
    </w:rPr>
  </w:style>
  <w:style w:type="paragraph" w:customStyle="1" w:styleId="WW-Corpodetexto3">
    <w:name w:val="WW-Corpo de texto 3"/>
    <w:basedOn w:val="Normal"/>
    <w:rsid w:val="00C94174"/>
    <w:pPr>
      <w:widowControl w:val="0"/>
      <w:tabs>
        <w:tab w:val="left" w:pos="993"/>
      </w:tabs>
      <w:suppressAutoHyphens/>
      <w:autoSpaceDE w:val="0"/>
      <w:spacing w:line="360" w:lineRule="auto"/>
      <w:jc w:val="both"/>
    </w:pPr>
    <w:rPr>
      <w:rFonts w:eastAsia="Calibri" w:cs="Calibri"/>
      <w:sz w:val="20"/>
      <w:szCs w:val="20"/>
      <w:lang w:eastAsia="ar-SA"/>
    </w:rPr>
  </w:style>
  <w:style w:type="paragraph" w:customStyle="1" w:styleId="SemEspaamento2">
    <w:name w:val="Sem Espaçamento2"/>
    <w:link w:val="SemEspaamentoChar"/>
    <w:uiPriority w:val="1"/>
    <w:qFormat/>
    <w:rsid w:val="00C94174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2"/>
    <w:locked/>
    <w:rsid w:val="00C94174"/>
    <w:rPr>
      <w:rFonts w:ascii="Calibri" w:hAnsi="Calibri"/>
      <w:sz w:val="22"/>
      <w:szCs w:val="2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EE6F8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E866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bscitationtitle">
    <w:name w:val="abs_citation_title"/>
    <w:basedOn w:val="Fontepargpadro"/>
    <w:rsid w:val="00E8662C"/>
  </w:style>
  <w:style w:type="paragraph" w:styleId="SemEspaamento">
    <w:name w:val="No Spacing"/>
    <w:uiPriority w:val="99"/>
    <w:qFormat/>
    <w:rsid w:val="008B7A5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61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A6"/>
    <w:uiPriority w:val="99"/>
    <w:rsid w:val="00761853"/>
    <w:rPr>
      <w:rFonts w:cs="Minion Pro"/>
      <w:color w:val="000000"/>
      <w:sz w:val="12"/>
      <w:szCs w:val="12"/>
    </w:rPr>
  </w:style>
  <w:style w:type="character" w:customStyle="1" w:styleId="A7">
    <w:name w:val="A7"/>
    <w:uiPriority w:val="99"/>
    <w:rsid w:val="00937AEC"/>
    <w:rPr>
      <w:rFonts w:cs="BookmanITC Lt BT"/>
      <w:color w:val="000000"/>
      <w:sz w:val="11"/>
      <w:szCs w:val="11"/>
    </w:rPr>
  </w:style>
  <w:style w:type="character" w:styleId="nfase">
    <w:name w:val="Emphasis"/>
    <w:basedOn w:val="Fontepargpadro"/>
    <w:uiPriority w:val="20"/>
    <w:qFormat/>
    <w:rsid w:val="003A7D0A"/>
    <w:rPr>
      <w:i/>
      <w:iCs/>
    </w:rPr>
  </w:style>
  <w:style w:type="character" w:customStyle="1" w:styleId="apple-converted-space">
    <w:name w:val="apple-converted-space"/>
    <w:basedOn w:val="Fontepargpadro"/>
    <w:rsid w:val="003A7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_tozatti@hotmail.com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www.cidasc.sc.gov.br/inspecao/files/2012/08/portaria-27_1998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camila-pd@hotmail.com" TargetMode="External"/><Relationship Id="rId12" Type="http://schemas.openxmlformats.org/officeDocument/2006/relationships/hyperlink" Target="mailto:raniere@unicentro.br" TargetMode="Externa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yperlink" Target="http://europepmc.org/search/?page=1&amp;query=effect+of+air-drying+temperature+on+...+food+chem.+104:+1014-1024+%282007+AND+JOURNAL:%22Food+Chem%22&amp;refinejrnl=Food+Ch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tridai@hot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footer" Target="footer2.xml"/><Relationship Id="rId10" Type="http://schemas.openxmlformats.org/officeDocument/2006/relationships/hyperlink" Target="mailto:dianessa.cogo@hotmail.com" TargetMode="External"/><Relationship Id="rId19" Type="http://schemas.openxmlformats.org/officeDocument/2006/relationships/hyperlink" Target="http://sistemasdeproducao.cnptia.embrapa.br/FontesHTML/Maca/ProducaoIntegradaMa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.stoski@hotmail.com" TargetMode="Externa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niere\Camila\ma&#231;&#227;\Grafico%20frequenc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niere\Camila\ma&#231;&#227;\Grafico%20frequenc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niere\Camila\ma&#231;&#227;\Grafico%20frequenc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niere\Camila\ma&#231;&#227;\Grafico%20frequenci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niere\Camila\ma&#231;&#227;\gr&#225;fico%20%25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/>
          <a:lstStyle/>
          <a:p>
            <a:pPr>
              <a:defRPr b="0"/>
            </a:pPr>
            <a:r>
              <a:rPr lang="pt-BR" b="0"/>
              <a:t>Notas para aparência</a:t>
            </a:r>
          </a:p>
        </c:rich>
      </c:tx>
      <c:layout>
        <c:manualLayout>
          <c:xMode val="edge"/>
          <c:yMode val="edge"/>
          <c:x val="0.32676628314219813"/>
          <c:y val="0.89517993723687439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25368363608018"/>
          <c:y val="5.745280748203431E-2"/>
          <c:w val="0.64109347442681652"/>
          <c:h val="0.65402425457617186"/>
        </c:manualLayout>
      </c:layout>
      <c:barChart>
        <c:barDir val="col"/>
        <c:grouping val="clustered"/>
        <c:ser>
          <c:idx val="0"/>
          <c:order val="0"/>
          <c:tx>
            <c:strRef>
              <c:f>Plan1!$B$2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solidFill>
                <a:schemeClr val="bg1">
                  <a:lumMod val="85000"/>
                </a:schemeClr>
              </a:solidFill>
              <a:prstDash val="solid"/>
            </a:ln>
          </c:spPr>
          <c:val>
            <c:numRef>
              <c:f>Plan1!$B$3:$B$11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8.2000000000000011</c:v>
                </c:pt>
                <c:pt idx="5">
                  <c:v>22.4</c:v>
                </c:pt>
                <c:pt idx="6">
                  <c:v>22.4</c:v>
                </c:pt>
                <c:pt idx="7">
                  <c:v>40.800000000000004</c:v>
                </c:pt>
                <c:pt idx="8">
                  <c:v>6.1</c:v>
                </c:pt>
              </c:numCache>
            </c:numRef>
          </c:val>
        </c:ser>
        <c:ser>
          <c:idx val="1"/>
          <c:order val="1"/>
          <c:tx>
            <c:strRef>
              <c:f>Plan1!$C$2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bg1">
                  <a:lumMod val="75000"/>
                </a:schemeClr>
              </a:solidFill>
              <a:prstDash val="solid"/>
            </a:ln>
          </c:spPr>
          <c:val>
            <c:numRef>
              <c:f>Plan1!$C$3:$C$11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6.1</c:v>
                </c:pt>
                <c:pt idx="5">
                  <c:v>16.3</c:v>
                </c:pt>
                <c:pt idx="6">
                  <c:v>32.700000000000003</c:v>
                </c:pt>
                <c:pt idx="7">
                  <c:v>32.700000000000003</c:v>
                </c:pt>
                <c:pt idx="8">
                  <c:v>10.200000000000001</c:v>
                </c:pt>
              </c:numCache>
            </c:numRef>
          </c:val>
        </c:ser>
        <c:ser>
          <c:idx val="2"/>
          <c:order val="2"/>
          <c:tx>
            <c:strRef>
              <c:f>Plan1!$D$2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  <c:val>
            <c:numRef>
              <c:f>Plan1!$D$3:$D$11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8.2000000000000011</c:v>
                </c:pt>
                <c:pt idx="4">
                  <c:v>10.200000000000001</c:v>
                </c:pt>
                <c:pt idx="5">
                  <c:v>28.6</c:v>
                </c:pt>
                <c:pt idx="6">
                  <c:v>22.4</c:v>
                </c:pt>
                <c:pt idx="7">
                  <c:v>20.399999999999999</c:v>
                </c:pt>
                <c:pt idx="8">
                  <c:v>10.200000000000001</c:v>
                </c:pt>
              </c:numCache>
            </c:numRef>
          </c:val>
        </c:ser>
        <c:axId val="68076672"/>
        <c:axId val="68078208"/>
      </c:barChart>
      <c:catAx>
        <c:axId val="68076672"/>
        <c:scaling>
          <c:orientation val="minMax"/>
        </c:scaling>
        <c:axPos val="b"/>
        <c:numFmt formatCode="General" sourceLinked="1"/>
        <c:tickLblPos val="nextTo"/>
        <c:crossAx val="68078208"/>
        <c:crosses val="autoZero"/>
        <c:auto val="1"/>
        <c:lblAlgn val="ctr"/>
        <c:lblOffset val="100"/>
      </c:catAx>
      <c:valAx>
        <c:axId val="68078208"/>
        <c:scaling>
          <c:orientation val="minMax"/>
          <c:max val="5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t-BR" b="0"/>
                  <a:t>(%) </a:t>
                </a:r>
              </a:p>
            </c:rich>
          </c:tx>
          <c:layout>
            <c:manualLayout>
              <c:xMode val="edge"/>
              <c:yMode val="edge"/>
              <c:x val="3.7738364387620002E-2"/>
              <c:y val="0.3184499535811297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crossAx val="6807667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4164749564555841"/>
          <c:y val="0.3590512831260354"/>
          <c:w val="9.2592870335653901E-2"/>
          <c:h val="0.309157548925901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/>
          <a:lstStyle/>
          <a:p>
            <a:pPr>
              <a:defRPr b="0"/>
            </a:pPr>
            <a:r>
              <a:rPr lang="pt-BR" b="0"/>
              <a:t>Notas para aroma</a:t>
            </a:r>
          </a:p>
        </c:rich>
      </c:tx>
      <c:layout>
        <c:manualLayout>
          <c:xMode val="edge"/>
          <c:yMode val="edge"/>
          <c:x val="0.35805732658140876"/>
          <c:y val="0.8847959167546838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087083333333333"/>
          <c:y val="5.6830386315521134E-2"/>
          <c:w val="0.70312295310234851"/>
          <c:h val="0.64944104807694281"/>
        </c:manualLayout>
      </c:layout>
      <c:barChart>
        <c:barDir val="col"/>
        <c:grouping val="clustered"/>
        <c:ser>
          <c:idx val="0"/>
          <c:order val="0"/>
          <c:tx>
            <c:strRef>
              <c:f>Plan1!$B$19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solidFill>
                <a:schemeClr val="bg1">
                  <a:lumMod val="85000"/>
                </a:schemeClr>
              </a:solidFill>
              <a:prstDash val="solid"/>
            </a:ln>
          </c:spPr>
          <c:val>
            <c:numRef>
              <c:f>Plan1!$B$20:$B$28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8.2000000000000011</c:v>
                </c:pt>
                <c:pt idx="4">
                  <c:v>8.2000000000000011</c:v>
                </c:pt>
                <c:pt idx="5">
                  <c:v>20.399999999999999</c:v>
                </c:pt>
                <c:pt idx="6">
                  <c:v>28.6</c:v>
                </c:pt>
                <c:pt idx="7">
                  <c:v>24.5</c:v>
                </c:pt>
                <c:pt idx="8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Plan1!$C$19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bg1">
                  <a:lumMod val="75000"/>
                </a:schemeClr>
              </a:solidFill>
              <a:prstDash val="solid"/>
            </a:ln>
          </c:spPr>
          <c:val>
            <c:numRef>
              <c:f>Plan1!$C$20:$C$28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14.3</c:v>
                </c:pt>
                <c:pt idx="5">
                  <c:v>12.2</c:v>
                </c:pt>
                <c:pt idx="6">
                  <c:v>28.6</c:v>
                </c:pt>
                <c:pt idx="7">
                  <c:v>34.700000000000003</c:v>
                </c:pt>
                <c:pt idx="8">
                  <c:v>10.200000000000001</c:v>
                </c:pt>
              </c:numCache>
            </c:numRef>
          </c:val>
        </c:ser>
        <c:ser>
          <c:idx val="2"/>
          <c:order val="2"/>
          <c:tx>
            <c:strRef>
              <c:f>Plan1!$D$19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  <c:val>
            <c:numRef>
              <c:f>Plan1!$D$20:$D$28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4.0999999999999996</c:v>
                </c:pt>
                <c:pt idx="3">
                  <c:v>8.2000000000000011</c:v>
                </c:pt>
                <c:pt idx="4">
                  <c:v>8.2000000000000011</c:v>
                </c:pt>
                <c:pt idx="5">
                  <c:v>18.399999999999999</c:v>
                </c:pt>
                <c:pt idx="6">
                  <c:v>26.5</c:v>
                </c:pt>
                <c:pt idx="7">
                  <c:v>20.399999999999999</c:v>
                </c:pt>
                <c:pt idx="8">
                  <c:v>14.3</c:v>
                </c:pt>
              </c:numCache>
            </c:numRef>
          </c:val>
        </c:ser>
        <c:axId val="114461696"/>
        <c:axId val="114489984"/>
      </c:barChart>
      <c:catAx>
        <c:axId val="114461696"/>
        <c:scaling>
          <c:orientation val="minMax"/>
        </c:scaling>
        <c:axPos val="b"/>
        <c:numFmt formatCode="General" sourceLinked="1"/>
        <c:tickLblPos val="nextTo"/>
        <c:crossAx val="114489984"/>
        <c:crosses val="autoZero"/>
        <c:auto val="1"/>
        <c:lblAlgn val="ctr"/>
        <c:lblOffset val="100"/>
      </c:catAx>
      <c:valAx>
        <c:axId val="114489984"/>
        <c:scaling>
          <c:orientation val="minMax"/>
          <c:max val="5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t-BR" b="0"/>
                  <a:t>(%)</a:t>
                </a:r>
              </a:p>
            </c:rich>
          </c:tx>
          <c:layout>
            <c:manualLayout>
              <c:xMode val="edge"/>
              <c:yMode val="edge"/>
              <c:x val="1.9859299237675723E-2"/>
              <c:y val="0.312705239354010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crossAx val="11446169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8910900795465109"/>
          <c:y val="0.36379253122867738"/>
          <c:w val="9.2592870335653873E-2"/>
          <c:h val="0.3220716093376542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/>
          <a:lstStyle/>
          <a:p>
            <a:pPr>
              <a:defRPr b="0"/>
            </a:pPr>
            <a:r>
              <a:rPr lang="pt-BR" b="0"/>
              <a:t>Notas para sabor</a:t>
            </a:r>
          </a:p>
        </c:rich>
      </c:tx>
      <c:layout>
        <c:manualLayout>
          <c:xMode val="edge"/>
          <c:yMode val="edge"/>
          <c:x val="0.39182842017853764"/>
          <c:y val="0.90441612141917849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174080688367571"/>
          <c:y val="7.4787801948485597E-2"/>
          <c:w val="0.66970941132967687"/>
          <c:h val="0.62457202765416164"/>
        </c:manualLayout>
      </c:layout>
      <c:barChart>
        <c:barDir val="col"/>
        <c:grouping val="clustered"/>
        <c:ser>
          <c:idx val="0"/>
          <c:order val="0"/>
          <c:tx>
            <c:strRef>
              <c:f>Plan1!$B$19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solidFill>
                <a:schemeClr val="bg1">
                  <a:lumMod val="85000"/>
                </a:schemeClr>
              </a:solidFill>
              <a:prstDash val="solid"/>
            </a:ln>
          </c:spPr>
          <c:val>
            <c:numRef>
              <c:f>Plan1!$B$34:$B$42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4.0999999999999996</c:v>
                </c:pt>
                <c:pt idx="3">
                  <c:v>2</c:v>
                </c:pt>
                <c:pt idx="4">
                  <c:v>2</c:v>
                </c:pt>
                <c:pt idx="5">
                  <c:v>14.3</c:v>
                </c:pt>
                <c:pt idx="6">
                  <c:v>22.4</c:v>
                </c:pt>
                <c:pt idx="7">
                  <c:v>44.9</c:v>
                </c:pt>
                <c:pt idx="8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Plan1!$C$19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bg1">
                  <a:lumMod val="75000"/>
                </a:schemeClr>
              </a:solidFill>
              <a:prstDash val="solid"/>
            </a:ln>
          </c:spPr>
          <c:val>
            <c:numRef>
              <c:f>Plan1!$C$34:$C$42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14.3</c:v>
                </c:pt>
                <c:pt idx="6">
                  <c:v>18.399999999999999</c:v>
                </c:pt>
                <c:pt idx="7">
                  <c:v>38.800000000000004</c:v>
                </c:pt>
                <c:pt idx="8">
                  <c:v>24.5</c:v>
                </c:pt>
              </c:numCache>
            </c:numRef>
          </c:val>
        </c:ser>
        <c:ser>
          <c:idx val="2"/>
          <c:order val="2"/>
          <c:tx>
            <c:strRef>
              <c:f>Plan1!$D$19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  <c:val>
            <c:numRef>
              <c:f>Plan1!$D$34:$D$42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10.200000000000001</c:v>
                </c:pt>
                <c:pt idx="4">
                  <c:v>2</c:v>
                </c:pt>
                <c:pt idx="5">
                  <c:v>18.399999999999999</c:v>
                </c:pt>
                <c:pt idx="6">
                  <c:v>24.5</c:v>
                </c:pt>
                <c:pt idx="7">
                  <c:v>26.5</c:v>
                </c:pt>
                <c:pt idx="8">
                  <c:v>16.3</c:v>
                </c:pt>
              </c:numCache>
            </c:numRef>
          </c:val>
        </c:ser>
        <c:axId val="115118848"/>
        <c:axId val="115121536"/>
      </c:barChart>
      <c:catAx>
        <c:axId val="115118848"/>
        <c:scaling>
          <c:orientation val="minMax"/>
        </c:scaling>
        <c:axPos val="b"/>
        <c:numFmt formatCode="General" sourceLinked="1"/>
        <c:tickLblPos val="nextTo"/>
        <c:crossAx val="115121536"/>
        <c:crosses val="autoZero"/>
        <c:auto val="1"/>
        <c:lblAlgn val="ctr"/>
        <c:lblOffset val="100"/>
      </c:catAx>
      <c:valAx>
        <c:axId val="115121536"/>
        <c:scaling>
          <c:orientation val="minMax"/>
          <c:max val="5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t-BR" b="0"/>
                  <a:t>(%) </a:t>
                </a:r>
              </a:p>
            </c:rich>
          </c:tx>
          <c:layout>
            <c:manualLayout>
              <c:xMode val="edge"/>
              <c:yMode val="edge"/>
              <c:x val="5.9766620667262155E-2"/>
              <c:y val="0.3241585479781137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crossAx val="11511884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9904813031970165"/>
          <c:y val="0.37495342874414789"/>
          <c:w val="9.2592870335653873E-2"/>
          <c:h val="0.2976021551744273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/>
          <a:lstStyle/>
          <a:p>
            <a:pPr>
              <a:defRPr b="0"/>
            </a:pPr>
            <a:r>
              <a:rPr lang="pt-BR" b="0"/>
              <a:t>Notas para cor</a:t>
            </a:r>
          </a:p>
        </c:rich>
      </c:tx>
      <c:layout>
        <c:manualLayout>
          <c:xMode val="edge"/>
          <c:yMode val="edge"/>
          <c:x val="0.43651698512882559"/>
          <c:y val="0.87772310658391595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2871836157637501"/>
          <c:y val="0.11859106751000389"/>
          <c:w val="0.63959509006604165"/>
          <c:h val="0.58736107388085856"/>
        </c:manualLayout>
      </c:layout>
      <c:barChart>
        <c:barDir val="col"/>
        <c:grouping val="clustered"/>
        <c:ser>
          <c:idx val="0"/>
          <c:order val="0"/>
          <c:tx>
            <c:strRef>
              <c:f>Plan1!$B$45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5400">
              <a:solidFill>
                <a:schemeClr val="bg1">
                  <a:lumMod val="85000"/>
                </a:schemeClr>
              </a:solidFill>
            </a:ln>
          </c:spPr>
          <c:val>
            <c:numRef>
              <c:f>Plan1!$B$46:$B$54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6.1</c:v>
                </c:pt>
                <c:pt idx="4">
                  <c:v>4.0999999999999996</c:v>
                </c:pt>
                <c:pt idx="5">
                  <c:v>18.399999999999999</c:v>
                </c:pt>
                <c:pt idx="6">
                  <c:v>20.399999999999999</c:v>
                </c:pt>
                <c:pt idx="7">
                  <c:v>40.800000000000004</c:v>
                </c:pt>
                <c:pt idx="8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Plan1!$C$45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bg1">
                  <a:lumMod val="75000"/>
                </a:schemeClr>
              </a:solidFill>
              <a:prstDash val="solid"/>
            </a:ln>
          </c:spPr>
          <c:val>
            <c:numRef>
              <c:f>Plan1!$C$46:$C$54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8.2000000000000011</c:v>
                </c:pt>
                <c:pt idx="5">
                  <c:v>18.399999999999999</c:v>
                </c:pt>
                <c:pt idx="6">
                  <c:v>24.5</c:v>
                </c:pt>
                <c:pt idx="7">
                  <c:v>36.700000000000003</c:v>
                </c:pt>
                <c:pt idx="8">
                  <c:v>8.2000000000000011</c:v>
                </c:pt>
              </c:numCache>
            </c:numRef>
          </c:val>
        </c:ser>
        <c:ser>
          <c:idx val="2"/>
          <c:order val="2"/>
          <c:tx>
            <c:strRef>
              <c:f>Plan1!$D$45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  <c:val>
            <c:numRef>
              <c:f>Plan1!$D$46:$D$54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12.2</c:v>
                </c:pt>
                <c:pt idx="4">
                  <c:v>8.2000000000000011</c:v>
                </c:pt>
                <c:pt idx="5">
                  <c:v>20.399999999999999</c:v>
                </c:pt>
                <c:pt idx="6">
                  <c:v>30.6</c:v>
                </c:pt>
                <c:pt idx="7">
                  <c:v>24.5</c:v>
                </c:pt>
                <c:pt idx="8">
                  <c:v>4.0999999999999996</c:v>
                </c:pt>
              </c:numCache>
            </c:numRef>
          </c:val>
        </c:ser>
        <c:axId val="119830016"/>
        <c:axId val="119831552"/>
      </c:barChart>
      <c:catAx>
        <c:axId val="119830016"/>
        <c:scaling>
          <c:orientation val="minMax"/>
        </c:scaling>
        <c:axPos val="b"/>
        <c:numFmt formatCode="General" sourceLinked="1"/>
        <c:tickLblPos val="nextTo"/>
        <c:crossAx val="119831552"/>
        <c:crosses val="autoZero"/>
        <c:auto val="1"/>
        <c:lblAlgn val="ctr"/>
        <c:lblOffset val="100"/>
      </c:catAx>
      <c:valAx>
        <c:axId val="119831552"/>
        <c:scaling>
          <c:orientation val="minMax"/>
          <c:max val="5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t-BR" b="0"/>
                  <a:t>(%)</a:t>
                </a:r>
              </a:p>
            </c:rich>
          </c:tx>
          <c:layout>
            <c:manualLayout>
              <c:xMode val="edge"/>
              <c:yMode val="edge"/>
              <c:x val="8.3437469318829394E-2"/>
              <c:y val="0.3319278430360150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crossAx val="11983001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566373038294876"/>
          <c:y val="0.3988893642905802"/>
          <c:w val="9.2592870335653873E-2"/>
          <c:h val="0.2838010598593728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5"/>
  <c:chart>
    <c:plotArea>
      <c:layout/>
      <c:barChart>
        <c:barDir val="col"/>
        <c:grouping val="clustered"/>
        <c:ser>
          <c:idx val="0"/>
          <c:order val="0"/>
          <c:tx>
            <c:strRef>
              <c:f>Plan1!$B$3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cat>
            <c:strRef>
              <c:f>Plan1!$C$2:$F$2</c:f>
              <c:strCache>
                <c:ptCount val="4"/>
                <c:pt idx="0">
                  <c:v>Aparência</c:v>
                </c:pt>
                <c:pt idx="1">
                  <c:v>Aroma</c:v>
                </c:pt>
                <c:pt idx="2">
                  <c:v>Sabor</c:v>
                </c:pt>
                <c:pt idx="3">
                  <c:v>Cor</c:v>
                </c:pt>
              </c:strCache>
            </c:strRef>
          </c:cat>
          <c:val>
            <c:numRef>
              <c:f>Plan1!$C$3:$F$3</c:f>
              <c:numCache>
                <c:formatCode>0</c:formatCode>
                <c:ptCount val="4"/>
                <c:pt idx="0">
                  <c:v>79.333333333333258</c:v>
                </c:pt>
                <c:pt idx="1">
                  <c:v>74.333333333333258</c:v>
                </c:pt>
                <c:pt idx="2">
                  <c:v>80.444444444444727</c:v>
                </c:pt>
                <c:pt idx="3">
                  <c:v>79.555555555555458</c:v>
                </c:pt>
              </c:numCache>
            </c:numRef>
          </c:val>
        </c:ser>
        <c:ser>
          <c:idx val="1"/>
          <c:order val="1"/>
          <c:tx>
            <c:strRef>
              <c:f>Plan1!$B$4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strRef>
              <c:f>Plan1!$C$2:$F$2</c:f>
              <c:strCache>
                <c:ptCount val="4"/>
                <c:pt idx="0">
                  <c:v>Aparência</c:v>
                </c:pt>
                <c:pt idx="1">
                  <c:v>Aroma</c:v>
                </c:pt>
                <c:pt idx="2">
                  <c:v>Sabor</c:v>
                </c:pt>
                <c:pt idx="3">
                  <c:v>Cor</c:v>
                </c:pt>
              </c:strCache>
            </c:strRef>
          </c:cat>
          <c:val>
            <c:numRef>
              <c:f>Plan1!$C$4:$F$4</c:f>
              <c:numCache>
                <c:formatCode>0</c:formatCode>
                <c:ptCount val="4"/>
                <c:pt idx="0">
                  <c:v>79.333333333333258</c:v>
                </c:pt>
                <c:pt idx="1">
                  <c:v>79.333333333333258</c:v>
                </c:pt>
                <c:pt idx="2">
                  <c:v>84.777777777777658</c:v>
                </c:pt>
                <c:pt idx="3">
                  <c:v>78</c:v>
                </c:pt>
              </c:numCache>
            </c:numRef>
          </c:val>
        </c:ser>
        <c:ser>
          <c:idx val="2"/>
          <c:order val="2"/>
          <c:tx>
            <c:strRef>
              <c:f>Plan1!$B$5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cat>
            <c:strRef>
              <c:f>Plan1!$C$2:$F$2</c:f>
              <c:strCache>
                <c:ptCount val="4"/>
                <c:pt idx="0">
                  <c:v>Aparência</c:v>
                </c:pt>
                <c:pt idx="1">
                  <c:v>Aroma</c:v>
                </c:pt>
                <c:pt idx="2">
                  <c:v>Sabor</c:v>
                </c:pt>
                <c:pt idx="3">
                  <c:v>Cor</c:v>
                </c:pt>
              </c:strCache>
            </c:strRef>
          </c:cat>
          <c:val>
            <c:numRef>
              <c:f>Plan1!$C$5:$F$5</c:f>
              <c:numCache>
                <c:formatCode>0</c:formatCode>
                <c:ptCount val="4"/>
                <c:pt idx="0">
                  <c:v>74.111111111111114</c:v>
                </c:pt>
                <c:pt idx="1">
                  <c:v>74.777777777777658</c:v>
                </c:pt>
                <c:pt idx="2">
                  <c:v>77.555555555555458</c:v>
                </c:pt>
                <c:pt idx="3">
                  <c:v>73.222222222222229</c:v>
                </c:pt>
              </c:numCache>
            </c:numRef>
          </c:val>
        </c:ser>
        <c:axId val="67533824"/>
        <c:axId val="67547904"/>
      </c:barChart>
      <c:catAx>
        <c:axId val="67533824"/>
        <c:scaling>
          <c:orientation val="minMax"/>
        </c:scaling>
        <c:axPos val="b"/>
        <c:numFmt formatCode="General" sourceLinked="1"/>
        <c:tickLblPos val="nextTo"/>
        <c:crossAx val="67547904"/>
        <c:crosses val="autoZero"/>
        <c:auto val="1"/>
        <c:lblAlgn val="ctr"/>
        <c:lblOffset val="100"/>
      </c:catAx>
      <c:valAx>
        <c:axId val="6754790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%</a:t>
                </a:r>
              </a:p>
            </c:rich>
          </c:tx>
          <c:layout>
            <c:manualLayout>
              <c:xMode val="edge"/>
              <c:yMode val="edge"/>
              <c:x val="6.6922893609474676E-2"/>
              <c:y val="0.38780091157393015"/>
            </c:manualLayout>
          </c:layout>
        </c:title>
        <c:numFmt formatCode="0" sourceLinked="1"/>
        <c:tickLblPos val="nextTo"/>
        <c:crossAx val="6753382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3589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REFLEXÕES SOBRE ÉTICA, ESTADO BRASILEIRO E EDUCAÇÃO</vt:lpstr>
    </vt:vector>
  </TitlesOfParts>
  <Company/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REFLEXÕES SOBRE ÉTICA, ESTADO BRASILEIRO E EDUCAÇÃO</dc:title>
  <dc:creator>Diretoria de Pesquisa CEFET-RN</dc:creator>
  <cp:lastModifiedBy>Daiana Novello</cp:lastModifiedBy>
  <cp:revision>2</cp:revision>
  <dcterms:created xsi:type="dcterms:W3CDTF">2014-01-10T19:48:00Z</dcterms:created>
  <dcterms:modified xsi:type="dcterms:W3CDTF">2014-01-10T19:48:00Z</dcterms:modified>
</cp:coreProperties>
</file>